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Override PartName="/word/drawings/drawing6.xml" ContentType="application/vnd.openxmlformats-officedocument.drawingml.chartshapes+xml"/>
  <Override PartName="/word/charts/chart68.xml" ContentType="application/vnd.openxmlformats-officedocument.drawingml.chart+xml"/>
  <Override PartName="/word/charts/chart77.xml" ContentType="application/vnd.openxmlformats-officedocument.drawingml.chart+xml"/>
  <Override PartName="/word/charts/chart7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drawings/drawing4.xml" ContentType="application/vnd.openxmlformats-officedocument.drawingml.chartshapes+xml"/>
  <Override PartName="/word/charts/chart66.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drawings/drawing2.xml" ContentType="application/vnd.openxmlformats-officedocument.drawingml.chartshapes+xml"/>
  <Override PartName="/word/charts/chart64.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drawings/drawing10.xml" ContentType="application/vnd.openxmlformats-officedocument.drawingml.chartshapes+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drawings/drawing9.xml" ContentType="application/vnd.openxmlformats-officedocument.drawingml.chartshapes+xml"/>
  <Default Extension="jpeg" ContentType="image/jpeg"/>
  <Override PartName="/word/charts/chart49.xml" ContentType="application/vnd.openxmlformats-officedocument.drawingml.chart+xml"/>
  <Override PartName="/word/drawings/drawing7.xml" ContentType="application/vnd.openxmlformats-officedocument.drawingml.chartshapes+xml"/>
  <Override PartName="/word/charts/chart69.xml" ContentType="application/vnd.openxmlformats-officedocument.drawingml.chart+xml"/>
  <Override PartName="/word/charts/chart78.xml" ContentType="application/vnd.openxmlformats-officedocument.drawingml.chart+xml"/>
  <Override PartName="/word/numbering.xml" ContentType="application/vnd.openxmlformats-officedocument.wordprocessingml.numbering+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67.xml" ContentType="application/vnd.openxmlformats-officedocument.drawingml.chart+xml"/>
  <Override PartName="/word/charts/chart76.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drawings/drawing1.xml" ContentType="application/vnd.openxmlformats-officedocument.drawingml.chartshapes+xml"/>
  <Override PartName="/word/charts/chart65.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rawings/drawing8.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266" w:rsidRPr="008500DB" w:rsidRDefault="002B7266" w:rsidP="002B7266">
      <w:pPr>
        <w:pStyle w:val="Ttulo1"/>
        <w:jc w:val="center"/>
        <w:rPr>
          <w:rFonts w:cs="Arial"/>
          <w:b/>
          <w:color w:val="00B050"/>
          <w:sz w:val="22"/>
          <w:szCs w:val="22"/>
        </w:rPr>
      </w:pPr>
      <w:r w:rsidRPr="008500DB">
        <w:rPr>
          <w:rFonts w:cs="Arial"/>
          <w:b/>
          <w:color w:val="00B050"/>
          <w:sz w:val="22"/>
          <w:szCs w:val="22"/>
        </w:rPr>
        <w:t>COMITÉ DE GERENCIA No.  001</w:t>
      </w:r>
    </w:p>
    <w:p w:rsidR="002B7266" w:rsidRPr="008500DB" w:rsidRDefault="002B7266" w:rsidP="002B7266">
      <w:pPr>
        <w:jc w:val="both"/>
        <w:rPr>
          <w:rFonts w:ascii="Arial" w:hAnsi="Arial" w:cs="Arial"/>
          <w:sz w:val="22"/>
          <w:szCs w:val="22"/>
        </w:rPr>
      </w:pPr>
    </w:p>
    <w:p w:rsidR="002B7266" w:rsidRPr="008500DB" w:rsidRDefault="002B7266" w:rsidP="002B7266">
      <w:pPr>
        <w:jc w:val="both"/>
        <w:rPr>
          <w:rFonts w:ascii="Arial" w:hAnsi="Arial" w:cs="Arial"/>
          <w:sz w:val="22"/>
          <w:szCs w:val="22"/>
        </w:rPr>
      </w:pPr>
    </w:p>
    <w:p w:rsidR="002B7266" w:rsidRPr="008500DB" w:rsidRDefault="002B7266" w:rsidP="002B7266">
      <w:pPr>
        <w:jc w:val="both"/>
        <w:rPr>
          <w:rFonts w:ascii="Arial" w:hAnsi="Arial" w:cs="Arial"/>
          <w:sz w:val="22"/>
          <w:szCs w:val="22"/>
        </w:rPr>
      </w:pPr>
      <w:r w:rsidRPr="008500DB">
        <w:rPr>
          <w:rFonts w:ascii="Arial" w:hAnsi="Arial" w:cs="Arial"/>
          <w:sz w:val="22"/>
          <w:szCs w:val="22"/>
        </w:rPr>
        <w:t>FECHA:</w:t>
      </w:r>
      <w:r w:rsidRPr="008500DB">
        <w:rPr>
          <w:rFonts w:ascii="Arial" w:hAnsi="Arial" w:cs="Arial"/>
          <w:sz w:val="22"/>
          <w:szCs w:val="22"/>
        </w:rPr>
        <w:tab/>
      </w:r>
      <w:r w:rsidRPr="008500DB">
        <w:rPr>
          <w:rFonts w:ascii="Arial" w:hAnsi="Arial" w:cs="Arial"/>
          <w:sz w:val="22"/>
          <w:szCs w:val="22"/>
        </w:rPr>
        <w:tab/>
        <w:t>Lunes 02 de febrero de 2015</w:t>
      </w:r>
    </w:p>
    <w:p w:rsidR="002B7266" w:rsidRPr="008500DB" w:rsidRDefault="002B7266" w:rsidP="002B7266">
      <w:pPr>
        <w:jc w:val="both"/>
        <w:rPr>
          <w:rFonts w:ascii="Arial" w:hAnsi="Arial" w:cs="Arial"/>
          <w:sz w:val="22"/>
          <w:szCs w:val="22"/>
        </w:rPr>
      </w:pPr>
      <w:r w:rsidRPr="008500DB">
        <w:rPr>
          <w:rFonts w:ascii="Arial" w:hAnsi="Arial" w:cs="Arial"/>
          <w:sz w:val="22"/>
          <w:szCs w:val="22"/>
        </w:rPr>
        <w:t>LUGAR:</w:t>
      </w:r>
      <w:r w:rsidRPr="008500DB">
        <w:rPr>
          <w:rFonts w:ascii="Arial" w:hAnsi="Arial" w:cs="Arial"/>
          <w:sz w:val="22"/>
          <w:szCs w:val="22"/>
        </w:rPr>
        <w:tab/>
      </w:r>
      <w:r w:rsidRPr="008500DB">
        <w:rPr>
          <w:rFonts w:ascii="Arial" w:hAnsi="Arial" w:cs="Arial"/>
          <w:sz w:val="22"/>
          <w:szCs w:val="22"/>
        </w:rPr>
        <w:tab/>
        <w:t>Sala de Juntas de IDESAN</w:t>
      </w:r>
    </w:p>
    <w:p w:rsidR="002B7266" w:rsidRPr="008500DB" w:rsidRDefault="002B7266" w:rsidP="002B7266">
      <w:pPr>
        <w:jc w:val="both"/>
        <w:rPr>
          <w:rFonts w:ascii="Arial" w:hAnsi="Arial" w:cs="Arial"/>
          <w:color w:val="FF0000"/>
          <w:sz w:val="22"/>
          <w:szCs w:val="22"/>
        </w:rPr>
      </w:pPr>
      <w:r w:rsidRPr="008500DB">
        <w:rPr>
          <w:rFonts w:ascii="Arial" w:hAnsi="Arial" w:cs="Arial"/>
          <w:sz w:val="22"/>
          <w:szCs w:val="22"/>
        </w:rPr>
        <w:t>HORA:</w:t>
      </w:r>
      <w:r w:rsidRPr="008500DB">
        <w:rPr>
          <w:rFonts w:ascii="Arial" w:hAnsi="Arial" w:cs="Arial"/>
          <w:sz w:val="22"/>
          <w:szCs w:val="22"/>
        </w:rPr>
        <w:tab/>
      </w:r>
      <w:r w:rsidRPr="008500DB">
        <w:rPr>
          <w:rFonts w:ascii="Arial" w:hAnsi="Arial" w:cs="Arial"/>
          <w:sz w:val="22"/>
          <w:szCs w:val="22"/>
        </w:rPr>
        <w:tab/>
      </w:r>
      <w:r w:rsidRPr="008500DB">
        <w:rPr>
          <w:rFonts w:ascii="Arial" w:hAnsi="Arial" w:cs="Arial"/>
          <w:sz w:val="22"/>
          <w:szCs w:val="22"/>
        </w:rPr>
        <w:tab/>
        <w:t>12:00 a.m.</w:t>
      </w:r>
      <w:r w:rsidRPr="008500DB">
        <w:rPr>
          <w:rFonts w:ascii="Arial" w:hAnsi="Arial" w:cs="Arial"/>
          <w:color w:val="FF0000"/>
          <w:sz w:val="22"/>
          <w:szCs w:val="22"/>
        </w:rPr>
        <w:t xml:space="preserve"> </w:t>
      </w:r>
    </w:p>
    <w:p w:rsidR="002147DB" w:rsidRPr="008500DB" w:rsidRDefault="002B7266" w:rsidP="002B7266">
      <w:pPr>
        <w:jc w:val="both"/>
        <w:rPr>
          <w:rFonts w:ascii="Arial" w:hAnsi="Arial" w:cs="Arial"/>
          <w:b/>
          <w:sz w:val="22"/>
          <w:szCs w:val="22"/>
        </w:rPr>
      </w:pPr>
      <w:r w:rsidRPr="008500DB">
        <w:rPr>
          <w:rFonts w:ascii="Arial" w:hAnsi="Arial" w:cs="Arial"/>
          <w:b/>
          <w:sz w:val="22"/>
          <w:szCs w:val="22"/>
        </w:rPr>
        <w:t xml:space="preserve">  </w:t>
      </w:r>
      <w:r w:rsidRPr="008500DB">
        <w:rPr>
          <w:rFonts w:ascii="Arial" w:hAnsi="Arial" w:cs="Arial"/>
          <w:b/>
          <w:sz w:val="22"/>
          <w:szCs w:val="22"/>
        </w:rPr>
        <w:tab/>
      </w:r>
      <w:r w:rsidRPr="008500DB">
        <w:rPr>
          <w:rFonts w:ascii="Arial" w:hAnsi="Arial" w:cs="Arial"/>
          <w:b/>
          <w:sz w:val="22"/>
          <w:szCs w:val="22"/>
        </w:rPr>
        <w:tab/>
      </w:r>
      <w:r w:rsidRPr="008500DB">
        <w:rPr>
          <w:rFonts w:ascii="Arial" w:hAnsi="Arial" w:cs="Arial"/>
          <w:b/>
          <w:sz w:val="22"/>
          <w:szCs w:val="22"/>
        </w:rPr>
        <w:tab/>
      </w:r>
    </w:p>
    <w:p w:rsidR="002147DB" w:rsidRPr="008500DB" w:rsidRDefault="008500DB" w:rsidP="008500DB">
      <w:pPr>
        <w:pStyle w:val="Ttulo3"/>
        <w:ind w:left="1410" w:hanging="1410"/>
        <w:rPr>
          <w:rFonts w:ascii="Arial" w:hAnsi="Arial" w:cs="Arial"/>
          <w:color w:val="008000"/>
          <w:sz w:val="22"/>
          <w:szCs w:val="22"/>
        </w:rPr>
      </w:pPr>
      <w:r>
        <w:rPr>
          <w:rFonts w:ascii="Arial" w:hAnsi="Arial" w:cs="Arial"/>
          <w:color w:val="008000"/>
          <w:sz w:val="22"/>
          <w:szCs w:val="22"/>
        </w:rPr>
        <w:t xml:space="preserve">TEMA: </w:t>
      </w:r>
      <w:r>
        <w:rPr>
          <w:rFonts w:ascii="Arial" w:hAnsi="Arial" w:cs="Arial"/>
          <w:color w:val="008000"/>
          <w:sz w:val="22"/>
          <w:szCs w:val="22"/>
        </w:rPr>
        <w:tab/>
      </w:r>
      <w:r w:rsidR="002147DB" w:rsidRPr="008500DB">
        <w:rPr>
          <w:rFonts w:ascii="Arial" w:hAnsi="Arial" w:cs="Arial"/>
          <w:color w:val="008000"/>
          <w:sz w:val="22"/>
          <w:szCs w:val="22"/>
        </w:rPr>
        <w:t xml:space="preserve">REVISIÓN POR LA DIRECCION PARA LA AUTOEVALUACION DE LA GESTION DEL </w:t>
      </w:r>
      <w:r>
        <w:rPr>
          <w:rFonts w:ascii="Arial" w:hAnsi="Arial" w:cs="Arial"/>
          <w:color w:val="008000"/>
          <w:sz w:val="22"/>
          <w:szCs w:val="22"/>
        </w:rPr>
        <w:t xml:space="preserve"> </w:t>
      </w:r>
      <w:r w:rsidR="002147DB" w:rsidRPr="008500DB">
        <w:rPr>
          <w:rFonts w:ascii="Arial" w:hAnsi="Arial" w:cs="Arial"/>
          <w:color w:val="008000"/>
          <w:sz w:val="22"/>
          <w:szCs w:val="22"/>
        </w:rPr>
        <w:t>II SEMESTRE DE 201</w:t>
      </w:r>
      <w:r w:rsidR="00D11B01" w:rsidRPr="008500DB">
        <w:rPr>
          <w:rFonts w:ascii="Arial" w:hAnsi="Arial" w:cs="Arial"/>
          <w:color w:val="008000"/>
          <w:sz w:val="22"/>
          <w:szCs w:val="22"/>
        </w:rPr>
        <w:t>4</w:t>
      </w:r>
    </w:p>
    <w:p w:rsidR="002147DB" w:rsidRPr="008500DB" w:rsidRDefault="002147DB" w:rsidP="002147DB">
      <w:pPr>
        <w:rPr>
          <w:rFonts w:ascii="Arial" w:hAnsi="Arial" w:cs="Arial"/>
          <w:sz w:val="22"/>
          <w:szCs w:val="22"/>
        </w:rPr>
      </w:pPr>
    </w:p>
    <w:p w:rsidR="002147DB" w:rsidRPr="008500DB" w:rsidRDefault="002147DB" w:rsidP="002147DB">
      <w:pPr>
        <w:rPr>
          <w:rFonts w:ascii="Arial" w:hAnsi="Arial" w:cs="Arial"/>
          <w:b/>
          <w:bCs/>
          <w:color w:val="008000"/>
          <w:sz w:val="22"/>
          <w:szCs w:val="22"/>
          <w:u w:val="single"/>
        </w:rPr>
      </w:pPr>
      <w:r w:rsidRPr="008500DB">
        <w:rPr>
          <w:rFonts w:ascii="Arial" w:hAnsi="Arial" w:cs="Arial"/>
          <w:b/>
          <w:bCs/>
          <w:color w:val="008000"/>
          <w:sz w:val="22"/>
          <w:szCs w:val="22"/>
          <w:u w:val="single"/>
        </w:rPr>
        <w:t xml:space="preserve">OBJETIVO DE LA REVISION POR LA DIRECCION: </w:t>
      </w:r>
    </w:p>
    <w:p w:rsidR="002147DB" w:rsidRPr="008500DB" w:rsidRDefault="002147DB" w:rsidP="002147DB">
      <w:pPr>
        <w:autoSpaceDE w:val="0"/>
        <w:autoSpaceDN w:val="0"/>
        <w:adjustRightInd w:val="0"/>
        <w:jc w:val="both"/>
        <w:rPr>
          <w:rFonts w:ascii="Arial" w:hAnsi="Arial" w:cs="Arial"/>
          <w:sz w:val="22"/>
          <w:szCs w:val="22"/>
        </w:rPr>
      </w:pPr>
    </w:p>
    <w:p w:rsidR="002147DB" w:rsidRPr="008500DB" w:rsidRDefault="002147DB" w:rsidP="002147DB">
      <w:pPr>
        <w:autoSpaceDE w:val="0"/>
        <w:autoSpaceDN w:val="0"/>
        <w:adjustRightInd w:val="0"/>
        <w:jc w:val="both"/>
        <w:rPr>
          <w:rFonts w:ascii="Arial" w:hAnsi="Arial" w:cs="Arial"/>
          <w:sz w:val="22"/>
          <w:szCs w:val="22"/>
        </w:rPr>
      </w:pPr>
      <w:r w:rsidRPr="008500DB">
        <w:rPr>
          <w:rFonts w:ascii="Arial" w:hAnsi="Arial" w:cs="Arial"/>
          <w:sz w:val="22"/>
          <w:szCs w:val="22"/>
        </w:rPr>
        <w:t>Realizar la revisión por La dirección con el fin de revisar el sistema de gestión de la calidad de la entidad, para asegurarse de su conveniencia, adecuación, eficacia, eficiencia y efectividad continuas, incluyendo la evaluación de las oportunidades de mejora y la necesidad de efectuar cambios en el sistema de gestión de la calidad,  revisando la adecuación de la política de la calidad y los objetivos de la calidad.</w:t>
      </w:r>
    </w:p>
    <w:p w:rsidR="002147DB" w:rsidRPr="008500DB" w:rsidRDefault="002147DB" w:rsidP="002B7266">
      <w:pPr>
        <w:jc w:val="both"/>
        <w:rPr>
          <w:rFonts w:ascii="Arial" w:hAnsi="Arial" w:cs="Arial"/>
          <w:sz w:val="22"/>
          <w:szCs w:val="22"/>
        </w:rPr>
      </w:pPr>
    </w:p>
    <w:p w:rsidR="002B7266" w:rsidRPr="008500DB" w:rsidRDefault="002B7266" w:rsidP="002B7266">
      <w:pPr>
        <w:jc w:val="both"/>
        <w:rPr>
          <w:rFonts w:ascii="Arial" w:hAnsi="Arial" w:cs="Arial"/>
          <w:sz w:val="22"/>
          <w:szCs w:val="22"/>
        </w:rPr>
      </w:pPr>
      <w:r w:rsidRPr="008500DB">
        <w:rPr>
          <w:rFonts w:ascii="Arial" w:hAnsi="Arial" w:cs="Arial"/>
          <w:sz w:val="22"/>
          <w:szCs w:val="22"/>
        </w:rPr>
        <w:t xml:space="preserve"> </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1. LLAMADO A LISTA</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xml:space="preserve">2. BIENVENIDA DR. VICENTE RODRIGUEZ </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REVISION POR LA DIRECCION:</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xml:space="preserve">3. RETROALIMENTACION DEL CLIENTE </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4. DESEMPEÑO DE LOS PROCESOS Y CONFORMIDAD DEL SERVICIO</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xml:space="preserve">5. RESULTADOS DE LA AUDITORIA INTERNA </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xml:space="preserve">6. ESTADO DE ACCIONES CORRECTIVAS Y PREVENTIVAS </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7. ACCIONES DE SEGUIMIENTO DE REVISIONES PREVIAS EFECTUADAS</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xml:space="preserve">8. CAMBIOS Ó RECOMENDACIONES QUE PODRÍAN AFECTAR AL SISTEMA DE GESTIÓN DE LA CALIDAD </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xml:space="preserve">9. RIESGOS ACTUALIZADOS E IDENTIFICADOS PARA LA ENTIDAD </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xml:space="preserve">10. REVISIÓN DE POLÍTICA Y OBJETIVOS DE CALIDAD </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11. DECISIONES Y ACCIONES RELACIONADAS CON:</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Mejora de la Eficacia del Sistema de Gestión de Calidad y sus Procesos</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Mejora del Servicio en relación con los Requisitos del Cliente</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 Necesidades de Recursos</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12. CONCLUSIONES DE LA EFICIENCIA, EFECTIVIDAD Y EFICACIA DEL S.G.C.</w:t>
      </w:r>
    </w:p>
    <w:p w:rsidR="002147DB" w:rsidRPr="008500DB" w:rsidRDefault="002147DB" w:rsidP="002147DB">
      <w:pPr>
        <w:jc w:val="both"/>
        <w:rPr>
          <w:rFonts w:ascii="Arial" w:hAnsi="Arial" w:cs="Arial"/>
          <w:b/>
          <w:bCs/>
          <w:color w:val="008000"/>
          <w:sz w:val="22"/>
          <w:szCs w:val="22"/>
          <w:lang w:val="es-CO"/>
        </w:rPr>
      </w:pPr>
      <w:r w:rsidRPr="008500DB">
        <w:rPr>
          <w:rFonts w:ascii="Arial" w:hAnsi="Arial" w:cs="Arial"/>
          <w:b/>
          <w:bCs/>
          <w:color w:val="008000"/>
          <w:sz w:val="22"/>
          <w:szCs w:val="22"/>
          <w:lang w:val="es-CO"/>
        </w:rPr>
        <w:t>13. PROPOSICIONES Y VARIOS</w:t>
      </w:r>
    </w:p>
    <w:p w:rsidR="002147DB" w:rsidRPr="008500DB" w:rsidRDefault="002147DB" w:rsidP="002B7266">
      <w:pPr>
        <w:jc w:val="both"/>
        <w:rPr>
          <w:rFonts w:ascii="Arial" w:hAnsi="Arial" w:cs="Arial"/>
          <w:sz w:val="22"/>
          <w:szCs w:val="22"/>
        </w:rPr>
      </w:pPr>
    </w:p>
    <w:p w:rsidR="003177B9" w:rsidRDefault="003177B9" w:rsidP="002B7266">
      <w:pPr>
        <w:jc w:val="both"/>
        <w:rPr>
          <w:rFonts w:ascii="Arial" w:hAnsi="Arial" w:cs="Arial"/>
          <w:b/>
          <w:bCs/>
          <w:color w:val="008000"/>
          <w:sz w:val="22"/>
          <w:szCs w:val="22"/>
        </w:rPr>
      </w:pPr>
    </w:p>
    <w:p w:rsidR="002147DB" w:rsidRPr="008500DB" w:rsidRDefault="002147DB" w:rsidP="002B7266">
      <w:pPr>
        <w:jc w:val="both"/>
        <w:rPr>
          <w:rFonts w:ascii="Arial" w:hAnsi="Arial" w:cs="Arial"/>
          <w:b/>
          <w:color w:val="76923C" w:themeColor="accent3" w:themeShade="BF"/>
          <w:sz w:val="22"/>
          <w:szCs w:val="22"/>
        </w:rPr>
      </w:pPr>
      <w:r w:rsidRPr="008500DB">
        <w:rPr>
          <w:rFonts w:ascii="Arial" w:hAnsi="Arial" w:cs="Arial"/>
          <w:b/>
          <w:bCs/>
          <w:color w:val="008000"/>
          <w:sz w:val="22"/>
          <w:szCs w:val="22"/>
          <w:lang w:val="es-CO"/>
        </w:rPr>
        <w:t>1. LLAMADO A LISTA</w:t>
      </w:r>
    </w:p>
    <w:p w:rsidR="002B7266" w:rsidRPr="008500DB" w:rsidRDefault="002B7266" w:rsidP="002B7266">
      <w:pPr>
        <w:jc w:val="both"/>
        <w:rPr>
          <w:rFonts w:ascii="Arial" w:hAnsi="Arial" w:cs="Arial"/>
          <w:sz w:val="22"/>
          <w:szCs w:val="22"/>
        </w:rPr>
      </w:pPr>
      <w:r w:rsidRPr="008500DB">
        <w:rPr>
          <w:rFonts w:ascii="Arial" w:hAnsi="Arial" w:cs="Arial"/>
          <w:sz w:val="22"/>
          <w:szCs w:val="22"/>
        </w:rPr>
        <w:t xml:space="preserve">VICENTE RODRÍGUEZ FERREIRA, </w:t>
      </w:r>
      <w:r w:rsidR="003177B9">
        <w:rPr>
          <w:rFonts w:ascii="Arial" w:hAnsi="Arial" w:cs="Arial"/>
          <w:sz w:val="22"/>
          <w:szCs w:val="22"/>
        </w:rPr>
        <w:tab/>
      </w:r>
      <w:r w:rsidR="003177B9">
        <w:rPr>
          <w:rFonts w:ascii="Arial" w:hAnsi="Arial" w:cs="Arial"/>
          <w:sz w:val="22"/>
          <w:szCs w:val="22"/>
        </w:rPr>
        <w:tab/>
      </w:r>
      <w:r w:rsidRPr="008500DB">
        <w:rPr>
          <w:rFonts w:ascii="Arial" w:hAnsi="Arial" w:cs="Arial"/>
          <w:sz w:val="22"/>
          <w:szCs w:val="22"/>
        </w:rPr>
        <w:t>Gerente</w:t>
      </w:r>
    </w:p>
    <w:p w:rsidR="002B7266" w:rsidRPr="008500DB" w:rsidRDefault="002B7266" w:rsidP="002B7266">
      <w:pPr>
        <w:jc w:val="both"/>
        <w:rPr>
          <w:rFonts w:ascii="Arial" w:hAnsi="Arial" w:cs="Arial"/>
          <w:sz w:val="22"/>
          <w:szCs w:val="22"/>
        </w:rPr>
      </w:pPr>
      <w:r w:rsidRPr="008500DB">
        <w:rPr>
          <w:rFonts w:ascii="Arial" w:hAnsi="Arial" w:cs="Arial"/>
          <w:sz w:val="22"/>
          <w:szCs w:val="22"/>
        </w:rPr>
        <w:t xml:space="preserve">MARTHA EUGENIA MONTERO OJEDA, </w:t>
      </w:r>
      <w:r w:rsidR="003177B9">
        <w:rPr>
          <w:rFonts w:ascii="Arial" w:hAnsi="Arial" w:cs="Arial"/>
          <w:sz w:val="22"/>
          <w:szCs w:val="22"/>
        </w:rPr>
        <w:tab/>
      </w:r>
      <w:r w:rsidR="003177B9">
        <w:rPr>
          <w:rFonts w:ascii="Arial" w:hAnsi="Arial" w:cs="Arial"/>
          <w:sz w:val="22"/>
          <w:szCs w:val="22"/>
        </w:rPr>
        <w:tab/>
      </w:r>
      <w:r w:rsidRPr="008500DB">
        <w:rPr>
          <w:rFonts w:ascii="Arial" w:hAnsi="Arial" w:cs="Arial"/>
          <w:sz w:val="22"/>
          <w:szCs w:val="22"/>
        </w:rPr>
        <w:t>Asesora Comercial</w:t>
      </w:r>
    </w:p>
    <w:p w:rsidR="002B7266" w:rsidRPr="008500DB" w:rsidRDefault="002B7266" w:rsidP="002B7266">
      <w:pPr>
        <w:jc w:val="both"/>
        <w:rPr>
          <w:rFonts w:ascii="Arial" w:hAnsi="Arial" w:cs="Arial"/>
          <w:sz w:val="22"/>
          <w:szCs w:val="22"/>
        </w:rPr>
      </w:pPr>
      <w:r w:rsidRPr="008500DB">
        <w:rPr>
          <w:rFonts w:ascii="Arial" w:hAnsi="Arial" w:cs="Arial"/>
          <w:sz w:val="22"/>
          <w:szCs w:val="22"/>
        </w:rPr>
        <w:t>BENJAMÍN EDUARDO HERRERA JAIMES,</w:t>
      </w:r>
      <w:r w:rsidR="003177B9">
        <w:rPr>
          <w:rFonts w:ascii="Arial" w:hAnsi="Arial" w:cs="Arial"/>
          <w:sz w:val="22"/>
          <w:szCs w:val="22"/>
        </w:rPr>
        <w:tab/>
      </w:r>
      <w:r w:rsidRPr="008500DB">
        <w:rPr>
          <w:rFonts w:ascii="Arial" w:hAnsi="Arial" w:cs="Arial"/>
          <w:sz w:val="22"/>
          <w:szCs w:val="22"/>
        </w:rPr>
        <w:t>Tesorero General</w:t>
      </w:r>
    </w:p>
    <w:p w:rsidR="002B7266" w:rsidRPr="008500DB" w:rsidRDefault="002B7266" w:rsidP="002B7266">
      <w:pPr>
        <w:jc w:val="both"/>
        <w:rPr>
          <w:rFonts w:ascii="Arial" w:hAnsi="Arial" w:cs="Arial"/>
          <w:sz w:val="22"/>
          <w:szCs w:val="22"/>
        </w:rPr>
      </w:pPr>
      <w:r w:rsidRPr="008500DB">
        <w:rPr>
          <w:rFonts w:ascii="Arial" w:hAnsi="Arial" w:cs="Arial"/>
          <w:sz w:val="22"/>
          <w:szCs w:val="22"/>
        </w:rPr>
        <w:t xml:space="preserve">ANDRÉS SOLANO AGUILAR, </w:t>
      </w:r>
      <w:r w:rsidR="003177B9">
        <w:rPr>
          <w:rFonts w:ascii="Arial" w:hAnsi="Arial" w:cs="Arial"/>
          <w:sz w:val="22"/>
          <w:szCs w:val="22"/>
        </w:rPr>
        <w:tab/>
      </w:r>
      <w:r w:rsidR="003177B9">
        <w:rPr>
          <w:rFonts w:ascii="Arial" w:hAnsi="Arial" w:cs="Arial"/>
          <w:sz w:val="22"/>
          <w:szCs w:val="22"/>
        </w:rPr>
        <w:tab/>
      </w:r>
      <w:r w:rsidR="003177B9">
        <w:rPr>
          <w:rFonts w:ascii="Arial" w:hAnsi="Arial" w:cs="Arial"/>
          <w:sz w:val="22"/>
          <w:szCs w:val="22"/>
        </w:rPr>
        <w:tab/>
        <w:t>Coordinador Financiero</w:t>
      </w:r>
      <w:r w:rsidRPr="008500DB">
        <w:rPr>
          <w:rFonts w:ascii="Arial" w:hAnsi="Arial" w:cs="Arial"/>
          <w:sz w:val="22"/>
          <w:szCs w:val="22"/>
        </w:rPr>
        <w:t xml:space="preserve"> y A</w:t>
      </w:r>
      <w:r w:rsidR="003177B9">
        <w:rPr>
          <w:rFonts w:ascii="Arial" w:hAnsi="Arial" w:cs="Arial"/>
          <w:sz w:val="22"/>
          <w:szCs w:val="22"/>
        </w:rPr>
        <w:t>dtivo</w:t>
      </w:r>
    </w:p>
    <w:p w:rsidR="002B7266" w:rsidRPr="008500DB" w:rsidRDefault="002B7266" w:rsidP="002B7266">
      <w:pPr>
        <w:jc w:val="both"/>
        <w:rPr>
          <w:rFonts w:ascii="Arial" w:hAnsi="Arial" w:cs="Arial"/>
          <w:sz w:val="22"/>
          <w:szCs w:val="22"/>
        </w:rPr>
      </w:pPr>
      <w:r w:rsidRPr="008500DB">
        <w:rPr>
          <w:rFonts w:ascii="Arial" w:hAnsi="Arial" w:cs="Arial"/>
          <w:sz w:val="22"/>
          <w:szCs w:val="22"/>
        </w:rPr>
        <w:t xml:space="preserve">HERMES FERNANDO RICO CHARRY, </w:t>
      </w:r>
      <w:r w:rsidR="003177B9">
        <w:rPr>
          <w:rFonts w:ascii="Arial" w:hAnsi="Arial" w:cs="Arial"/>
          <w:sz w:val="22"/>
          <w:szCs w:val="22"/>
        </w:rPr>
        <w:tab/>
      </w:r>
      <w:r w:rsidR="003177B9">
        <w:rPr>
          <w:rFonts w:ascii="Arial" w:hAnsi="Arial" w:cs="Arial"/>
          <w:sz w:val="22"/>
          <w:szCs w:val="22"/>
        </w:rPr>
        <w:tab/>
        <w:t>Profesional</w:t>
      </w:r>
      <w:r w:rsidRPr="008500DB">
        <w:rPr>
          <w:rFonts w:ascii="Arial" w:hAnsi="Arial" w:cs="Arial"/>
          <w:sz w:val="22"/>
          <w:szCs w:val="22"/>
        </w:rPr>
        <w:t xml:space="preserve"> Jurídico</w:t>
      </w:r>
    </w:p>
    <w:p w:rsidR="002B7266" w:rsidRPr="008500DB" w:rsidRDefault="002B7266" w:rsidP="002B7266">
      <w:pPr>
        <w:jc w:val="both"/>
        <w:rPr>
          <w:rFonts w:ascii="Arial" w:hAnsi="Arial" w:cs="Arial"/>
          <w:sz w:val="22"/>
          <w:szCs w:val="22"/>
        </w:rPr>
      </w:pPr>
      <w:r w:rsidRPr="008500DB">
        <w:rPr>
          <w:rFonts w:ascii="Arial" w:hAnsi="Arial" w:cs="Arial"/>
          <w:sz w:val="22"/>
          <w:szCs w:val="22"/>
        </w:rPr>
        <w:t xml:space="preserve">CECILIA VIRVIESCAS BONNET, </w:t>
      </w:r>
      <w:r w:rsidR="003177B9">
        <w:rPr>
          <w:rFonts w:ascii="Arial" w:hAnsi="Arial" w:cs="Arial"/>
          <w:sz w:val="22"/>
          <w:szCs w:val="22"/>
        </w:rPr>
        <w:tab/>
      </w:r>
      <w:r w:rsidR="003177B9">
        <w:rPr>
          <w:rFonts w:ascii="Arial" w:hAnsi="Arial" w:cs="Arial"/>
          <w:sz w:val="22"/>
          <w:szCs w:val="22"/>
        </w:rPr>
        <w:tab/>
      </w:r>
      <w:r w:rsidR="003177B9">
        <w:rPr>
          <w:rFonts w:ascii="Arial" w:hAnsi="Arial" w:cs="Arial"/>
          <w:sz w:val="22"/>
          <w:szCs w:val="22"/>
        </w:rPr>
        <w:tab/>
        <w:t xml:space="preserve">Profesional </w:t>
      </w:r>
      <w:r w:rsidRPr="008500DB">
        <w:rPr>
          <w:rFonts w:ascii="Arial" w:hAnsi="Arial" w:cs="Arial"/>
          <w:sz w:val="22"/>
          <w:szCs w:val="22"/>
        </w:rPr>
        <w:t xml:space="preserve">Planeación </w:t>
      </w:r>
      <w:r w:rsidR="003177B9">
        <w:rPr>
          <w:rFonts w:ascii="Arial" w:hAnsi="Arial" w:cs="Arial"/>
          <w:sz w:val="22"/>
          <w:szCs w:val="22"/>
        </w:rPr>
        <w:t>Inventarios</w:t>
      </w:r>
    </w:p>
    <w:p w:rsidR="002B7266" w:rsidRPr="008500DB" w:rsidRDefault="002B7266" w:rsidP="002B7266">
      <w:pPr>
        <w:jc w:val="both"/>
        <w:rPr>
          <w:rFonts w:ascii="Arial" w:hAnsi="Arial" w:cs="Arial"/>
          <w:sz w:val="22"/>
          <w:szCs w:val="22"/>
        </w:rPr>
      </w:pPr>
      <w:r w:rsidRPr="008500DB">
        <w:rPr>
          <w:rFonts w:ascii="Arial" w:hAnsi="Arial" w:cs="Arial"/>
          <w:sz w:val="22"/>
          <w:szCs w:val="22"/>
        </w:rPr>
        <w:t xml:space="preserve">AZUCENA PABÒN ORDOÑEZ, </w:t>
      </w:r>
      <w:r w:rsidR="003177B9">
        <w:rPr>
          <w:rFonts w:ascii="Arial" w:hAnsi="Arial" w:cs="Arial"/>
          <w:sz w:val="22"/>
          <w:szCs w:val="22"/>
        </w:rPr>
        <w:tab/>
      </w:r>
      <w:r w:rsidR="003177B9">
        <w:rPr>
          <w:rFonts w:ascii="Arial" w:hAnsi="Arial" w:cs="Arial"/>
          <w:sz w:val="22"/>
          <w:szCs w:val="22"/>
        </w:rPr>
        <w:tab/>
      </w:r>
      <w:r w:rsidR="003177B9">
        <w:rPr>
          <w:rFonts w:ascii="Arial" w:hAnsi="Arial" w:cs="Arial"/>
          <w:sz w:val="22"/>
          <w:szCs w:val="22"/>
        </w:rPr>
        <w:tab/>
        <w:t>Profesional</w:t>
      </w:r>
      <w:r w:rsidRPr="008500DB">
        <w:rPr>
          <w:rFonts w:ascii="Arial" w:hAnsi="Arial" w:cs="Arial"/>
          <w:sz w:val="22"/>
          <w:szCs w:val="22"/>
        </w:rPr>
        <w:t xml:space="preserve"> Convenios y Cartera</w:t>
      </w:r>
    </w:p>
    <w:p w:rsidR="002B7266" w:rsidRPr="008500DB" w:rsidRDefault="002B7266" w:rsidP="002B7266">
      <w:pPr>
        <w:jc w:val="both"/>
        <w:rPr>
          <w:rFonts w:ascii="Arial" w:hAnsi="Arial" w:cs="Arial"/>
          <w:sz w:val="22"/>
          <w:szCs w:val="22"/>
        </w:rPr>
      </w:pPr>
      <w:r w:rsidRPr="008500DB">
        <w:rPr>
          <w:rFonts w:ascii="Arial" w:hAnsi="Arial" w:cs="Arial"/>
          <w:sz w:val="22"/>
          <w:szCs w:val="22"/>
        </w:rPr>
        <w:t xml:space="preserve">ERNESTO VILLALBA MARTÍNEZ, </w:t>
      </w:r>
      <w:r w:rsidR="003177B9">
        <w:rPr>
          <w:rFonts w:ascii="Arial" w:hAnsi="Arial" w:cs="Arial"/>
          <w:sz w:val="22"/>
          <w:szCs w:val="22"/>
        </w:rPr>
        <w:tab/>
      </w:r>
      <w:r w:rsidR="003177B9">
        <w:rPr>
          <w:rFonts w:ascii="Arial" w:hAnsi="Arial" w:cs="Arial"/>
          <w:sz w:val="22"/>
          <w:szCs w:val="22"/>
        </w:rPr>
        <w:tab/>
      </w:r>
      <w:r w:rsidR="003177B9">
        <w:rPr>
          <w:rFonts w:ascii="Arial" w:hAnsi="Arial" w:cs="Arial"/>
          <w:sz w:val="22"/>
          <w:szCs w:val="22"/>
        </w:rPr>
        <w:tab/>
      </w:r>
      <w:r w:rsidRPr="008500DB">
        <w:rPr>
          <w:rFonts w:ascii="Arial" w:hAnsi="Arial" w:cs="Arial"/>
          <w:sz w:val="22"/>
          <w:szCs w:val="22"/>
        </w:rPr>
        <w:t>Asesor Control Interno</w:t>
      </w:r>
    </w:p>
    <w:p w:rsidR="002B7266" w:rsidRPr="008500DB" w:rsidRDefault="002B7266" w:rsidP="002B7266">
      <w:pPr>
        <w:jc w:val="both"/>
        <w:rPr>
          <w:rFonts w:ascii="Arial" w:hAnsi="Arial" w:cs="Arial"/>
          <w:bCs/>
          <w:sz w:val="22"/>
          <w:szCs w:val="22"/>
        </w:rPr>
      </w:pPr>
      <w:r w:rsidRPr="008500DB">
        <w:rPr>
          <w:rFonts w:ascii="Arial" w:hAnsi="Arial" w:cs="Arial"/>
          <w:bCs/>
          <w:sz w:val="22"/>
          <w:szCs w:val="22"/>
        </w:rPr>
        <w:t>ESTEBAN TÉLLEZ ROMERO,</w:t>
      </w:r>
      <w:r w:rsidR="003177B9">
        <w:rPr>
          <w:rFonts w:ascii="Arial" w:hAnsi="Arial" w:cs="Arial"/>
          <w:bCs/>
          <w:sz w:val="22"/>
          <w:szCs w:val="22"/>
        </w:rPr>
        <w:tab/>
      </w:r>
      <w:r w:rsidR="003177B9">
        <w:rPr>
          <w:rFonts w:ascii="Arial" w:hAnsi="Arial" w:cs="Arial"/>
          <w:bCs/>
          <w:sz w:val="22"/>
          <w:szCs w:val="22"/>
        </w:rPr>
        <w:tab/>
      </w:r>
      <w:r w:rsidR="003177B9">
        <w:rPr>
          <w:rFonts w:ascii="Arial" w:hAnsi="Arial" w:cs="Arial"/>
          <w:bCs/>
          <w:sz w:val="22"/>
          <w:szCs w:val="22"/>
        </w:rPr>
        <w:tab/>
      </w:r>
      <w:r w:rsidRPr="008500DB">
        <w:rPr>
          <w:rFonts w:ascii="Arial" w:hAnsi="Arial" w:cs="Arial"/>
          <w:bCs/>
          <w:sz w:val="22"/>
          <w:szCs w:val="22"/>
        </w:rPr>
        <w:t xml:space="preserve">Contratista Calidad </w:t>
      </w:r>
    </w:p>
    <w:p w:rsidR="002B7266" w:rsidRPr="008500DB" w:rsidRDefault="002B7266" w:rsidP="002B7266">
      <w:pPr>
        <w:jc w:val="both"/>
        <w:rPr>
          <w:rFonts w:ascii="Arial" w:hAnsi="Arial" w:cs="Arial"/>
          <w:bCs/>
          <w:sz w:val="22"/>
          <w:szCs w:val="22"/>
        </w:rPr>
      </w:pPr>
      <w:r w:rsidRPr="008500DB">
        <w:rPr>
          <w:rFonts w:ascii="Arial" w:hAnsi="Arial" w:cs="Arial"/>
          <w:bCs/>
          <w:sz w:val="22"/>
          <w:szCs w:val="22"/>
        </w:rPr>
        <w:t xml:space="preserve">CLAUDIA LILIANA RICO, </w:t>
      </w:r>
      <w:r w:rsidR="003177B9">
        <w:rPr>
          <w:rFonts w:ascii="Arial" w:hAnsi="Arial" w:cs="Arial"/>
          <w:bCs/>
          <w:sz w:val="22"/>
          <w:szCs w:val="22"/>
        </w:rPr>
        <w:tab/>
      </w:r>
      <w:r w:rsidR="003177B9">
        <w:rPr>
          <w:rFonts w:ascii="Arial" w:hAnsi="Arial" w:cs="Arial"/>
          <w:bCs/>
          <w:sz w:val="22"/>
          <w:szCs w:val="22"/>
        </w:rPr>
        <w:tab/>
      </w:r>
      <w:r w:rsidR="003177B9">
        <w:rPr>
          <w:rFonts w:ascii="Arial" w:hAnsi="Arial" w:cs="Arial"/>
          <w:bCs/>
          <w:sz w:val="22"/>
          <w:szCs w:val="22"/>
        </w:rPr>
        <w:tab/>
      </w:r>
      <w:r w:rsidR="003177B9">
        <w:rPr>
          <w:rFonts w:ascii="Arial" w:hAnsi="Arial" w:cs="Arial"/>
          <w:bCs/>
          <w:sz w:val="22"/>
          <w:szCs w:val="22"/>
        </w:rPr>
        <w:tab/>
      </w:r>
      <w:r w:rsidRPr="008500DB">
        <w:rPr>
          <w:rFonts w:ascii="Arial" w:hAnsi="Arial" w:cs="Arial"/>
          <w:bCs/>
          <w:sz w:val="22"/>
          <w:szCs w:val="22"/>
        </w:rPr>
        <w:t>Sec. Administrativa</w:t>
      </w:r>
    </w:p>
    <w:p w:rsidR="002B7266" w:rsidRPr="008500DB" w:rsidRDefault="002B7266" w:rsidP="002B7266">
      <w:pPr>
        <w:jc w:val="both"/>
        <w:rPr>
          <w:rFonts w:ascii="Arial" w:hAnsi="Arial" w:cs="Arial"/>
          <w:bCs/>
          <w:sz w:val="22"/>
          <w:szCs w:val="22"/>
        </w:rPr>
      </w:pPr>
      <w:r w:rsidRPr="008500DB">
        <w:rPr>
          <w:rFonts w:ascii="Arial" w:hAnsi="Arial" w:cs="Arial"/>
          <w:bCs/>
          <w:sz w:val="22"/>
          <w:szCs w:val="22"/>
        </w:rPr>
        <w:t xml:space="preserve">CLAUDIA E. HERNÁNDEZ BUITRAGO, </w:t>
      </w:r>
      <w:r w:rsidR="003177B9">
        <w:rPr>
          <w:rFonts w:ascii="Arial" w:hAnsi="Arial" w:cs="Arial"/>
          <w:bCs/>
          <w:sz w:val="22"/>
          <w:szCs w:val="22"/>
        </w:rPr>
        <w:tab/>
      </w:r>
      <w:r w:rsidR="003177B9">
        <w:rPr>
          <w:rFonts w:ascii="Arial" w:hAnsi="Arial" w:cs="Arial"/>
          <w:bCs/>
          <w:sz w:val="22"/>
          <w:szCs w:val="22"/>
        </w:rPr>
        <w:tab/>
      </w:r>
      <w:r w:rsidRPr="008500DB">
        <w:rPr>
          <w:rFonts w:ascii="Arial" w:hAnsi="Arial" w:cs="Arial"/>
          <w:bCs/>
          <w:sz w:val="22"/>
          <w:szCs w:val="22"/>
        </w:rPr>
        <w:t>Técnica en Informática</w:t>
      </w:r>
    </w:p>
    <w:p w:rsidR="002B7266" w:rsidRPr="008500DB" w:rsidRDefault="002B7266" w:rsidP="002B7266">
      <w:pPr>
        <w:jc w:val="both"/>
        <w:rPr>
          <w:rFonts w:ascii="Arial" w:hAnsi="Arial" w:cs="Arial"/>
          <w:bCs/>
          <w:sz w:val="22"/>
          <w:szCs w:val="22"/>
        </w:rPr>
      </w:pPr>
      <w:r w:rsidRPr="008500DB">
        <w:rPr>
          <w:rFonts w:ascii="Arial" w:hAnsi="Arial" w:cs="Arial"/>
          <w:bCs/>
          <w:sz w:val="22"/>
          <w:szCs w:val="22"/>
        </w:rPr>
        <w:t xml:space="preserve">ANA MILENA TRISTANCHO BALLESTEROS, </w:t>
      </w:r>
      <w:r w:rsidR="003177B9">
        <w:rPr>
          <w:rFonts w:ascii="Arial" w:hAnsi="Arial" w:cs="Arial"/>
          <w:bCs/>
          <w:sz w:val="22"/>
          <w:szCs w:val="22"/>
        </w:rPr>
        <w:tab/>
      </w:r>
      <w:r w:rsidRPr="008500DB">
        <w:rPr>
          <w:rFonts w:ascii="Arial" w:hAnsi="Arial" w:cs="Arial"/>
          <w:bCs/>
          <w:sz w:val="22"/>
          <w:szCs w:val="22"/>
        </w:rPr>
        <w:t>Aux. Administrativa</w:t>
      </w:r>
    </w:p>
    <w:p w:rsidR="002B7266" w:rsidRPr="008500DB" w:rsidRDefault="002B7266" w:rsidP="002B7266">
      <w:pPr>
        <w:jc w:val="both"/>
        <w:rPr>
          <w:rFonts w:ascii="Arial" w:hAnsi="Arial" w:cs="Arial"/>
          <w:bCs/>
          <w:sz w:val="22"/>
          <w:szCs w:val="22"/>
        </w:rPr>
      </w:pPr>
      <w:r w:rsidRPr="008500DB">
        <w:rPr>
          <w:rFonts w:ascii="Arial" w:hAnsi="Arial" w:cs="Arial"/>
          <w:bCs/>
          <w:sz w:val="22"/>
          <w:szCs w:val="22"/>
        </w:rPr>
        <w:t xml:space="preserve">HILDA BECERRA, </w:t>
      </w:r>
      <w:r w:rsidR="003177B9">
        <w:rPr>
          <w:rFonts w:ascii="Arial" w:hAnsi="Arial" w:cs="Arial"/>
          <w:bCs/>
          <w:sz w:val="22"/>
          <w:szCs w:val="22"/>
        </w:rPr>
        <w:tab/>
      </w:r>
      <w:r w:rsidR="003177B9">
        <w:rPr>
          <w:rFonts w:ascii="Arial" w:hAnsi="Arial" w:cs="Arial"/>
          <w:bCs/>
          <w:sz w:val="22"/>
          <w:szCs w:val="22"/>
        </w:rPr>
        <w:tab/>
      </w:r>
      <w:r w:rsidR="003177B9">
        <w:rPr>
          <w:rFonts w:ascii="Arial" w:hAnsi="Arial" w:cs="Arial"/>
          <w:bCs/>
          <w:sz w:val="22"/>
          <w:szCs w:val="22"/>
        </w:rPr>
        <w:tab/>
      </w:r>
      <w:r w:rsidR="003177B9">
        <w:rPr>
          <w:rFonts w:ascii="Arial" w:hAnsi="Arial" w:cs="Arial"/>
          <w:bCs/>
          <w:sz w:val="22"/>
          <w:szCs w:val="22"/>
        </w:rPr>
        <w:tab/>
      </w:r>
      <w:r w:rsidR="003177B9">
        <w:rPr>
          <w:rFonts w:ascii="Arial" w:hAnsi="Arial" w:cs="Arial"/>
          <w:bCs/>
          <w:sz w:val="22"/>
          <w:szCs w:val="22"/>
        </w:rPr>
        <w:tab/>
      </w:r>
      <w:r w:rsidRPr="008500DB">
        <w:rPr>
          <w:rFonts w:ascii="Arial" w:hAnsi="Arial" w:cs="Arial"/>
          <w:bCs/>
          <w:sz w:val="22"/>
          <w:szCs w:val="22"/>
        </w:rPr>
        <w:t>Secretaria de Gerencia</w:t>
      </w:r>
    </w:p>
    <w:p w:rsidR="002B7266" w:rsidRPr="008500DB" w:rsidRDefault="002B7266" w:rsidP="002B7266">
      <w:pPr>
        <w:jc w:val="both"/>
        <w:rPr>
          <w:rFonts w:ascii="Arial" w:hAnsi="Arial" w:cs="Arial"/>
          <w:bCs/>
          <w:sz w:val="22"/>
          <w:szCs w:val="22"/>
        </w:rPr>
      </w:pPr>
    </w:p>
    <w:p w:rsidR="002B7266" w:rsidRPr="008500DB" w:rsidRDefault="00162D81" w:rsidP="00162D81">
      <w:pPr>
        <w:jc w:val="both"/>
        <w:rPr>
          <w:rFonts w:ascii="Arial" w:hAnsi="Arial" w:cs="Arial"/>
          <w:b/>
          <w:color w:val="76923C" w:themeColor="accent3" w:themeShade="BF"/>
          <w:sz w:val="22"/>
          <w:szCs w:val="22"/>
        </w:rPr>
      </w:pPr>
      <w:r w:rsidRPr="008500DB">
        <w:rPr>
          <w:rFonts w:ascii="Arial" w:hAnsi="Arial" w:cs="Arial"/>
          <w:b/>
          <w:bCs/>
          <w:color w:val="008000"/>
          <w:sz w:val="22"/>
          <w:szCs w:val="22"/>
          <w:lang w:val="es-CO"/>
        </w:rPr>
        <w:lastRenderedPageBreak/>
        <w:t xml:space="preserve">2. </w:t>
      </w:r>
      <w:r w:rsidR="002B7266" w:rsidRPr="008500DB">
        <w:rPr>
          <w:rFonts w:ascii="Arial" w:hAnsi="Arial" w:cs="Arial"/>
          <w:b/>
          <w:bCs/>
          <w:color w:val="008000"/>
          <w:sz w:val="22"/>
          <w:szCs w:val="22"/>
          <w:lang w:val="es-CO"/>
        </w:rPr>
        <w:t>BIENVENIDA AL DR. VICENTE RODRÍGUEZ FERREIRA</w:t>
      </w:r>
    </w:p>
    <w:p w:rsidR="002B7266" w:rsidRPr="008500DB" w:rsidRDefault="002B7266" w:rsidP="002B7266">
      <w:pPr>
        <w:jc w:val="both"/>
        <w:rPr>
          <w:rFonts w:ascii="Arial" w:hAnsi="Arial" w:cs="Arial"/>
          <w:b/>
          <w:sz w:val="22"/>
          <w:szCs w:val="22"/>
        </w:rPr>
      </w:pPr>
    </w:p>
    <w:p w:rsidR="002B7266" w:rsidRPr="008500DB" w:rsidRDefault="002B7266" w:rsidP="002B7266">
      <w:pPr>
        <w:jc w:val="both"/>
        <w:rPr>
          <w:rFonts w:ascii="Arial" w:hAnsi="Arial" w:cs="Arial"/>
          <w:sz w:val="22"/>
          <w:szCs w:val="22"/>
        </w:rPr>
      </w:pPr>
      <w:r w:rsidRPr="008500DB">
        <w:rPr>
          <w:rFonts w:ascii="Arial" w:hAnsi="Arial" w:cs="Arial"/>
          <w:sz w:val="22"/>
          <w:szCs w:val="22"/>
        </w:rPr>
        <w:t>El Dr. Vicente hace su debida presentación y le da un saludo muy cordial a todo el grupo de trabajo del Instituto para dar comienzo a las actividades del Instituto.</w:t>
      </w:r>
    </w:p>
    <w:p w:rsidR="002B7266" w:rsidRPr="008500DB" w:rsidRDefault="002B7266" w:rsidP="002B7266">
      <w:pPr>
        <w:jc w:val="both"/>
        <w:rPr>
          <w:rFonts w:ascii="Arial" w:hAnsi="Arial" w:cs="Arial"/>
          <w:sz w:val="22"/>
          <w:szCs w:val="22"/>
        </w:rPr>
      </w:pPr>
    </w:p>
    <w:p w:rsidR="002B7266" w:rsidRPr="008500DB" w:rsidRDefault="002B7266" w:rsidP="002B7266">
      <w:pPr>
        <w:jc w:val="both"/>
        <w:rPr>
          <w:rFonts w:ascii="Arial" w:hAnsi="Arial" w:cs="Arial"/>
          <w:sz w:val="22"/>
          <w:szCs w:val="22"/>
        </w:rPr>
      </w:pPr>
      <w:r w:rsidRPr="008500DB">
        <w:rPr>
          <w:rFonts w:ascii="Arial" w:hAnsi="Arial" w:cs="Arial"/>
          <w:sz w:val="22"/>
          <w:szCs w:val="22"/>
        </w:rPr>
        <w:t>Para ello, le solicita al Dr. Andrés Solano, un informe resumen a la fecha en el estado en que se encuentra la calificación con la BRC y lo referente a la situación con la  Superfinaciera.</w:t>
      </w:r>
    </w:p>
    <w:p w:rsidR="002B7266" w:rsidRPr="008500DB" w:rsidRDefault="002B7266" w:rsidP="002B7266">
      <w:pPr>
        <w:jc w:val="both"/>
        <w:rPr>
          <w:rFonts w:ascii="Arial" w:hAnsi="Arial" w:cs="Arial"/>
          <w:sz w:val="22"/>
          <w:szCs w:val="22"/>
        </w:rPr>
      </w:pPr>
    </w:p>
    <w:p w:rsidR="002B7266" w:rsidRPr="008500DB" w:rsidRDefault="002B7266" w:rsidP="002B7266">
      <w:pPr>
        <w:jc w:val="both"/>
        <w:rPr>
          <w:rFonts w:ascii="Arial" w:hAnsi="Arial" w:cs="Arial"/>
          <w:sz w:val="22"/>
          <w:szCs w:val="22"/>
        </w:rPr>
      </w:pPr>
      <w:r w:rsidRPr="008500DB">
        <w:rPr>
          <w:rFonts w:ascii="Arial" w:hAnsi="Arial" w:cs="Arial"/>
          <w:sz w:val="22"/>
          <w:szCs w:val="22"/>
        </w:rPr>
        <w:t>También solicita que el Dr. Andrés Solano hable con la empresa encargada de la vigilancia del Instituto para que la entrada al IDESAN sea con más orden en lo relacionado con el personal que va para pasaportes.</w:t>
      </w:r>
    </w:p>
    <w:p w:rsidR="002147DB" w:rsidRPr="008500DB" w:rsidRDefault="002147DB" w:rsidP="002B7266">
      <w:pPr>
        <w:jc w:val="both"/>
        <w:rPr>
          <w:rFonts w:ascii="Arial" w:hAnsi="Arial" w:cs="Arial"/>
          <w:sz w:val="22"/>
          <w:szCs w:val="22"/>
        </w:rPr>
      </w:pPr>
    </w:p>
    <w:p w:rsidR="003177B9" w:rsidRDefault="003177B9" w:rsidP="00162D81">
      <w:pPr>
        <w:jc w:val="both"/>
        <w:rPr>
          <w:rFonts w:ascii="Arial" w:hAnsi="Arial" w:cs="Arial"/>
          <w:b/>
          <w:bCs/>
          <w:color w:val="008000"/>
          <w:sz w:val="22"/>
          <w:szCs w:val="22"/>
          <w:lang w:val="es-CO"/>
        </w:rPr>
      </w:pPr>
    </w:p>
    <w:p w:rsidR="002147DB" w:rsidRPr="008500DB" w:rsidRDefault="00162D81" w:rsidP="00162D81">
      <w:pPr>
        <w:jc w:val="both"/>
        <w:rPr>
          <w:rFonts w:ascii="Arial" w:hAnsi="Arial" w:cs="Arial"/>
          <w:b/>
          <w:bCs/>
          <w:color w:val="008000"/>
          <w:sz w:val="22"/>
          <w:szCs w:val="22"/>
          <w:lang w:val="es-CO"/>
        </w:rPr>
      </w:pPr>
      <w:r w:rsidRPr="008500DB">
        <w:rPr>
          <w:rFonts w:ascii="Arial" w:hAnsi="Arial" w:cs="Arial"/>
          <w:b/>
          <w:bCs/>
          <w:color w:val="008000"/>
          <w:sz w:val="22"/>
          <w:szCs w:val="22"/>
          <w:lang w:val="es-CO"/>
        </w:rPr>
        <w:t xml:space="preserve">3. </w:t>
      </w:r>
      <w:r w:rsidR="002147DB" w:rsidRPr="008500DB">
        <w:rPr>
          <w:rFonts w:ascii="Arial" w:hAnsi="Arial" w:cs="Arial"/>
          <w:b/>
          <w:bCs/>
          <w:color w:val="008000"/>
          <w:sz w:val="22"/>
          <w:szCs w:val="22"/>
          <w:lang w:val="es-CO"/>
        </w:rPr>
        <w:t>RETROALIMENTACION DEL CLIENTE</w:t>
      </w:r>
    </w:p>
    <w:p w:rsidR="002147DB" w:rsidRPr="008500DB" w:rsidRDefault="002147DB" w:rsidP="002147DB">
      <w:pPr>
        <w:pStyle w:val="Ttulo5"/>
        <w:rPr>
          <w:rFonts w:ascii="Arial" w:hAnsi="Arial" w:cs="Arial"/>
          <w:sz w:val="22"/>
          <w:szCs w:val="22"/>
        </w:rPr>
      </w:pPr>
      <w:r w:rsidRPr="008500DB">
        <w:rPr>
          <w:rFonts w:ascii="Arial" w:hAnsi="Arial" w:cs="Arial"/>
          <w:sz w:val="22"/>
          <w:szCs w:val="22"/>
        </w:rPr>
        <w:t>INDICADOR DE LA ENCUESTA DE SATISFACCIÓN DE CLIENTES</w:t>
      </w:r>
    </w:p>
    <w:p w:rsidR="002147DB" w:rsidRPr="008500DB" w:rsidRDefault="002147DB" w:rsidP="002147DB">
      <w:pPr>
        <w:tabs>
          <w:tab w:val="left" w:pos="360"/>
        </w:tabs>
        <w:jc w:val="both"/>
        <w:rPr>
          <w:rFonts w:ascii="Arial" w:hAnsi="Arial" w:cs="Arial"/>
          <w:sz w:val="22"/>
          <w:szCs w:val="22"/>
        </w:rPr>
      </w:pPr>
    </w:p>
    <w:p w:rsidR="002147DB" w:rsidRPr="008500DB" w:rsidRDefault="002147DB" w:rsidP="002147DB">
      <w:pPr>
        <w:tabs>
          <w:tab w:val="left" w:pos="360"/>
        </w:tabs>
        <w:jc w:val="both"/>
        <w:rPr>
          <w:rFonts w:ascii="Arial" w:hAnsi="Arial" w:cs="Arial"/>
          <w:sz w:val="22"/>
          <w:szCs w:val="22"/>
        </w:rPr>
      </w:pPr>
      <w:r w:rsidRPr="008500DB">
        <w:rPr>
          <w:rFonts w:ascii="Arial" w:hAnsi="Arial" w:cs="Arial"/>
          <w:sz w:val="22"/>
          <w:szCs w:val="22"/>
        </w:rPr>
        <w:t>La Dra. Martha Montero, entrego informe de Auto evaluación de la Gestión  y expuso los resultados de la encuesta de satisfacción de los clientes así:</w:t>
      </w:r>
    </w:p>
    <w:p w:rsidR="002147DB" w:rsidRPr="008500DB" w:rsidRDefault="002147DB" w:rsidP="002147DB">
      <w:pPr>
        <w:tabs>
          <w:tab w:val="left" w:pos="360"/>
        </w:tabs>
        <w:jc w:val="both"/>
        <w:rPr>
          <w:rFonts w:ascii="Arial" w:hAnsi="Arial" w:cs="Arial"/>
          <w:sz w:val="22"/>
          <w:szCs w:val="22"/>
        </w:rPr>
      </w:pPr>
    </w:p>
    <w:p w:rsidR="002147DB" w:rsidRPr="008500DB" w:rsidRDefault="002147DB" w:rsidP="002147DB">
      <w:pPr>
        <w:pStyle w:val="Ttulo5"/>
        <w:rPr>
          <w:rFonts w:ascii="Arial" w:hAnsi="Arial" w:cs="Arial"/>
          <w:sz w:val="22"/>
          <w:szCs w:val="22"/>
        </w:rPr>
      </w:pPr>
      <w:r w:rsidRPr="008500DB">
        <w:rPr>
          <w:rFonts w:ascii="Arial" w:hAnsi="Arial" w:cs="Arial"/>
          <w:sz w:val="22"/>
          <w:szCs w:val="22"/>
        </w:rPr>
        <w:t>TABULACION</w:t>
      </w:r>
    </w:p>
    <w:p w:rsidR="002147DB" w:rsidRPr="008500DB" w:rsidRDefault="002147DB" w:rsidP="002147DB">
      <w:pPr>
        <w:rPr>
          <w:rFonts w:ascii="Arial" w:hAnsi="Arial" w:cs="Arial"/>
          <w:sz w:val="22"/>
          <w:szCs w:val="22"/>
        </w:rPr>
      </w:pPr>
    </w:p>
    <w:p w:rsidR="008500DB" w:rsidRDefault="008500DB" w:rsidP="002147DB">
      <w:pPr>
        <w:rPr>
          <w:rFonts w:ascii="Arial" w:hAnsi="Arial" w:cs="Arial"/>
          <w:sz w:val="22"/>
          <w:szCs w:val="22"/>
        </w:rPr>
      </w:pPr>
      <w:r>
        <w:rPr>
          <w:rFonts w:ascii="Arial" w:hAnsi="Arial" w:cs="Arial"/>
          <w:sz w:val="22"/>
          <w:szCs w:val="22"/>
        </w:rPr>
        <w:t>A las preguntas:</w:t>
      </w:r>
    </w:p>
    <w:p w:rsidR="008500DB" w:rsidRDefault="008500DB" w:rsidP="002147DB">
      <w:pPr>
        <w:rPr>
          <w:rFonts w:ascii="Arial" w:hAnsi="Arial" w:cs="Arial"/>
          <w:sz w:val="22"/>
          <w:szCs w:val="22"/>
        </w:rPr>
      </w:pPr>
      <w:r>
        <w:rPr>
          <w:rFonts w:ascii="Arial" w:hAnsi="Arial" w:cs="Arial"/>
          <w:sz w:val="22"/>
          <w:szCs w:val="22"/>
        </w:rPr>
        <w:t>FIABILIDAD:</w:t>
      </w:r>
    </w:p>
    <w:p w:rsidR="008500DB" w:rsidRPr="008500DB" w:rsidRDefault="008500DB" w:rsidP="008500DB">
      <w:pPr>
        <w:rPr>
          <w:rFonts w:ascii="Arial" w:hAnsi="Arial" w:cs="Arial"/>
          <w:sz w:val="22"/>
          <w:szCs w:val="22"/>
          <w:lang w:val="es-CO"/>
        </w:rPr>
      </w:pPr>
      <w:r w:rsidRPr="008500DB">
        <w:rPr>
          <w:rFonts w:ascii="Arial" w:hAnsi="Arial" w:cs="Arial"/>
          <w:sz w:val="22"/>
          <w:szCs w:val="22"/>
          <w:lang w:val="es-CO"/>
        </w:rPr>
        <w:t>3.1 La empresa realiza procesos en el tiempo prometido</w:t>
      </w:r>
    </w:p>
    <w:p w:rsidR="008500DB" w:rsidRPr="008500DB" w:rsidRDefault="008500DB" w:rsidP="008500DB">
      <w:pPr>
        <w:rPr>
          <w:rFonts w:ascii="Arial" w:hAnsi="Arial" w:cs="Arial"/>
          <w:sz w:val="22"/>
          <w:szCs w:val="22"/>
          <w:lang w:val="es-CO"/>
        </w:rPr>
      </w:pPr>
      <w:r w:rsidRPr="008500DB">
        <w:rPr>
          <w:rFonts w:ascii="Arial" w:hAnsi="Arial" w:cs="Arial"/>
          <w:sz w:val="22"/>
          <w:szCs w:val="22"/>
          <w:lang w:val="es-CO"/>
        </w:rPr>
        <w:t>3.2 Al presentarse un problema hay una solución de manera oportuna</w:t>
      </w:r>
    </w:p>
    <w:p w:rsidR="008500DB" w:rsidRPr="008500DB" w:rsidRDefault="008500DB" w:rsidP="008500DB">
      <w:pPr>
        <w:rPr>
          <w:rFonts w:ascii="Arial" w:hAnsi="Arial" w:cs="Arial"/>
          <w:sz w:val="22"/>
          <w:szCs w:val="22"/>
          <w:lang w:val="es-CO"/>
        </w:rPr>
      </w:pPr>
      <w:r w:rsidRPr="008500DB">
        <w:rPr>
          <w:rFonts w:ascii="Arial" w:hAnsi="Arial" w:cs="Arial"/>
          <w:sz w:val="22"/>
          <w:szCs w:val="22"/>
          <w:lang w:val="es-CO"/>
        </w:rPr>
        <w:t>3.3 Los funcionarios desempeñan su labor en el momento que les corresponde</w:t>
      </w:r>
    </w:p>
    <w:p w:rsidR="008500DB" w:rsidRPr="008500DB" w:rsidRDefault="008500DB" w:rsidP="008500DB">
      <w:pPr>
        <w:rPr>
          <w:rFonts w:ascii="Arial" w:hAnsi="Arial" w:cs="Arial"/>
          <w:sz w:val="22"/>
          <w:szCs w:val="22"/>
          <w:lang w:val="es-CO"/>
        </w:rPr>
      </w:pPr>
      <w:r w:rsidRPr="008500DB">
        <w:rPr>
          <w:rFonts w:ascii="Arial" w:hAnsi="Arial" w:cs="Arial"/>
          <w:sz w:val="22"/>
          <w:szCs w:val="22"/>
          <w:lang w:val="es-CO"/>
        </w:rPr>
        <w:t>3.4 Se atiende a tiempo las quejas y reclamos</w:t>
      </w:r>
    </w:p>
    <w:p w:rsidR="002147DB" w:rsidRPr="008500DB" w:rsidRDefault="002147DB" w:rsidP="002147DB">
      <w:pPr>
        <w:pStyle w:val="Ttulo5"/>
        <w:rPr>
          <w:rFonts w:ascii="Arial" w:hAnsi="Arial" w:cs="Arial"/>
          <w:sz w:val="22"/>
          <w:szCs w:val="22"/>
        </w:rPr>
      </w:pPr>
      <w:r w:rsidRPr="008500DB">
        <w:rPr>
          <w:rFonts w:ascii="Arial" w:hAnsi="Arial" w:cs="Arial"/>
          <w:noProof/>
          <w:sz w:val="22"/>
          <w:szCs w:val="22"/>
        </w:rPr>
        <w:drawing>
          <wp:inline distT="0" distB="0" distL="0" distR="0">
            <wp:extent cx="5401531" cy="2727298"/>
            <wp:effectExtent l="19050" t="0" r="27719"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147DB" w:rsidRDefault="002147DB" w:rsidP="002147DB">
      <w:pPr>
        <w:rPr>
          <w:rFonts w:ascii="Arial" w:hAnsi="Arial" w:cs="Arial"/>
          <w:sz w:val="22"/>
          <w:szCs w:val="22"/>
        </w:rPr>
      </w:pPr>
    </w:p>
    <w:p w:rsidR="008500DB" w:rsidRDefault="008500DB" w:rsidP="008500DB">
      <w:pPr>
        <w:rPr>
          <w:rFonts w:ascii="Arial" w:hAnsi="Arial" w:cs="Arial"/>
          <w:sz w:val="22"/>
          <w:szCs w:val="22"/>
          <w:lang w:val="es-CO"/>
        </w:rPr>
      </w:pPr>
      <w:r>
        <w:rPr>
          <w:rFonts w:ascii="Arial" w:hAnsi="Arial" w:cs="Arial"/>
          <w:sz w:val="22"/>
          <w:szCs w:val="22"/>
          <w:lang w:val="es-CO"/>
        </w:rPr>
        <w:t>SEGURIDAD:</w:t>
      </w:r>
    </w:p>
    <w:p w:rsidR="008500DB" w:rsidRPr="008500DB" w:rsidRDefault="008500DB" w:rsidP="008500DB">
      <w:pPr>
        <w:rPr>
          <w:rFonts w:ascii="Arial" w:hAnsi="Arial" w:cs="Arial"/>
          <w:sz w:val="22"/>
          <w:szCs w:val="22"/>
          <w:lang w:val="es-CO"/>
        </w:rPr>
      </w:pPr>
      <w:r w:rsidRPr="008500DB">
        <w:rPr>
          <w:rFonts w:ascii="Arial" w:hAnsi="Arial" w:cs="Arial"/>
          <w:sz w:val="22"/>
          <w:szCs w:val="22"/>
          <w:lang w:val="es-CO"/>
        </w:rPr>
        <w:t>3.8 El comportamiento de los funcionarios  transmite confianza a los clientes</w:t>
      </w:r>
    </w:p>
    <w:p w:rsidR="008500DB" w:rsidRPr="008500DB" w:rsidRDefault="008500DB" w:rsidP="008500DB">
      <w:pPr>
        <w:rPr>
          <w:rFonts w:ascii="Arial" w:hAnsi="Arial" w:cs="Arial"/>
          <w:sz w:val="22"/>
          <w:szCs w:val="22"/>
          <w:lang w:val="es-CO"/>
        </w:rPr>
      </w:pPr>
      <w:r w:rsidRPr="008500DB">
        <w:rPr>
          <w:rFonts w:ascii="Arial" w:hAnsi="Arial" w:cs="Arial"/>
          <w:sz w:val="22"/>
          <w:szCs w:val="22"/>
          <w:lang w:val="es-CO"/>
        </w:rPr>
        <w:t>3.9 Como cliente se siente seguro de las transacciones que realiza en  el Instituto</w:t>
      </w:r>
    </w:p>
    <w:p w:rsidR="008500DB" w:rsidRPr="008500DB" w:rsidRDefault="008500DB" w:rsidP="008500DB">
      <w:pPr>
        <w:rPr>
          <w:rFonts w:ascii="Arial" w:hAnsi="Arial" w:cs="Arial"/>
          <w:sz w:val="22"/>
          <w:szCs w:val="22"/>
          <w:lang w:val="es-CO"/>
        </w:rPr>
      </w:pPr>
      <w:r w:rsidRPr="008500DB">
        <w:rPr>
          <w:rFonts w:ascii="Arial" w:hAnsi="Arial" w:cs="Arial"/>
          <w:sz w:val="22"/>
          <w:szCs w:val="22"/>
          <w:lang w:val="es-CO"/>
        </w:rPr>
        <w:t>3.10 Como califica la atención de los funcionarios en la entidad</w:t>
      </w:r>
    </w:p>
    <w:p w:rsidR="002147DB" w:rsidRDefault="002147DB" w:rsidP="002147DB">
      <w:pPr>
        <w:rPr>
          <w:rFonts w:ascii="Arial" w:hAnsi="Arial" w:cs="Arial"/>
          <w:sz w:val="22"/>
          <w:szCs w:val="22"/>
        </w:rPr>
      </w:pPr>
      <w:r w:rsidRPr="008500DB">
        <w:rPr>
          <w:rFonts w:ascii="Arial" w:hAnsi="Arial" w:cs="Arial"/>
          <w:noProof/>
          <w:sz w:val="22"/>
          <w:szCs w:val="22"/>
        </w:rPr>
        <w:lastRenderedPageBreak/>
        <w:drawing>
          <wp:inline distT="0" distB="0" distL="0" distR="0">
            <wp:extent cx="5400040" cy="2067632"/>
            <wp:effectExtent l="0" t="0" r="1016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500DB" w:rsidRPr="008500DB" w:rsidRDefault="008500DB" w:rsidP="002147DB">
      <w:pPr>
        <w:rPr>
          <w:rFonts w:ascii="Arial" w:hAnsi="Arial" w:cs="Arial"/>
          <w:sz w:val="22"/>
          <w:szCs w:val="22"/>
        </w:rPr>
      </w:pPr>
    </w:p>
    <w:p w:rsidR="002147DB" w:rsidRDefault="002147DB" w:rsidP="002147DB">
      <w:pPr>
        <w:rPr>
          <w:rFonts w:ascii="Arial" w:hAnsi="Arial" w:cs="Arial"/>
          <w:sz w:val="22"/>
          <w:szCs w:val="22"/>
        </w:rPr>
      </w:pPr>
    </w:p>
    <w:p w:rsidR="008500DB" w:rsidRDefault="008500DB" w:rsidP="002147DB">
      <w:pPr>
        <w:rPr>
          <w:rFonts w:ascii="Arial" w:hAnsi="Arial" w:cs="Arial"/>
          <w:sz w:val="22"/>
          <w:szCs w:val="22"/>
        </w:rPr>
      </w:pPr>
      <w:r>
        <w:rPr>
          <w:rFonts w:ascii="Arial" w:hAnsi="Arial" w:cs="Arial"/>
          <w:sz w:val="22"/>
          <w:szCs w:val="22"/>
        </w:rPr>
        <w:t>CAPACIDAD DE SERVICIO:</w:t>
      </w:r>
    </w:p>
    <w:p w:rsidR="008500DB" w:rsidRPr="008500DB" w:rsidRDefault="008500DB" w:rsidP="008500DB">
      <w:pPr>
        <w:rPr>
          <w:rFonts w:ascii="Arial" w:hAnsi="Arial" w:cs="Arial"/>
          <w:sz w:val="22"/>
          <w:szCs w:val="22"/>
          <w:lang w:val="es-CO"/>
        </w:rPr>
      </w:pPr>
      <w:r w:rsidRPr="008500DB">
        <w:rPr>
          <w:rFonts w:ascii="Arial" w:hAnsi="Arial" w:cs="Arial"/>
          <w:sz w:val="22"/>
          <w:szCs w:val="22"/>
          <w:lang w:val="es-CO"/>
        </w:rPr>
        <w:t>3.5 Como califica el servicio que los funcionarios ofrecen al cliente</w:t>
      </w:r>
    </w:p>
    <w:p w:rsidR="008500DB" w:rsidRPr="008500DB" w:rsidRDefault="008500DB" w:rsidP="008500DB">
      <w:pPr>
        <w:rPr>
          <w:rFonts w:ascii="Arial" w:hAnsi="Arial" w:cs="Arial"/>
          <w:sz w:val="22"/>
          <w:szCs w:val="22"/>
          <w:lang w:val="es-CO"/>
        </w:rPr>
      </w:pPr>
      <w:r w:rsidRPr="008500DB">
        <w:rPr>
          <w:rFonts w:ascii="Arial" w:hAnsi="Arial" w:cs="Arial"/>
          <w:sz w:val="22"/>
          <w:szCs w:val="22"/>
          <w:lang w:val="es-CO"/>
        </w:rPr>
        <w:t>3.6 Los funcionarios responden oportunamente las preguntas de los clientes</w:t>
      </w:r>
    </w:p>
    <w:p w:rsidR="008500DB" w:rsidRPr="008500DB" w:rsidRDefault="008500DB" w:rsidP="002147DB">
      <w:pPr>
        <w:rPr>
          <w:rFonts w:ascii="Arial" w:hAnsi="Arial" w:cs="Arial"/>
          <w:sz w:val="22"/>
          <w:szCs w:val="22"/>
        </w:rPr>
      </w:pPr>
    </w:p>
    <w:p w:rsidR="002147DB" w:rsidRDefault="002147DB" w:rsidP="002147DB">
      <w:pPr>
        <w:rPr>
          <w:rFonts w:ascii="Arial" w:hAnsi="Arial" w:cs="Arial"/>
          <w:sz w:val="22"/>
          <w:szCs w:val="22"/>
        </w:rPr>
      </w:pPr>
      <w:r w:rsidRPr="008500DB">
        <w:rPr>
          <w:rFonts w:ascii="Arial" w:hAnsi="Arial" w:cs="Arial"/>
          <w:noProof/>
          <w:sz w:val="22"/>
          <w:szCs w:val="22"/>
        </w:rPr>
        <w:drawing>
          <wp:inline distT="0" distB="0" distL="0" distR="0">
            <wp:extent cx="5400040" cy="2788004"/>
            <wp:effectExtent l="19050" t="0" r="1016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500DB" w:rsidRDefault="008500DB" w:rsidP="002147DB">
      <w:pPr>
        <w:rPr>
          <w:rFonts w:ascii="Arial" w:hAnsi="Arial" w:cs="Arial"/>
          <w:sz w:val="22"/>
          <w:szCs w:val="22"/>
        </w:rPr>
      </w:pPr>
    </w:p>
    <w:p w:rsidR="008500DB" w:rsidRDefault="008500DB" w:rsidP="002147DB">
      <w:pPr>
        <w:rPr>
          <w:rFonts w:ascii="Arial" w:hAnsi="Arial" w:cs="Arial"/>
          <w:sz w:val="22"/>
          <w:szCs w:val="22"/>
        </w:rPr>
      </w:pPr>
      <w:r>
        <w:rPr>
          <w:rFonts w:ascii="Arial" w:hAnsi="Arial" w:cs="Arial"/>
          <w:sz w:val="22"/>
          <w:szCs w:val="22"/>
        </w:rPr>
        <w:t>GENERALIDADES DEL SERVICIO</w:t>
      </w:r>
    </w:p>
    <w:p w:rsidR="008500DB" w:rsidRPr="008500DB" w:rsidRDefault="008500DB" w:rsidP="002147DB">
      <w:pPr>
        <w:rPr>
          <w:rFonts w:ascii="Arial" w:hAnsi="Arial" w:cs="Arial"/>
          <w:sz w:val="22"/>
          <w:szCs w:val="22"/>
        </w:rPr>
      </w:pPr>
      <w:r w:rsidRPr="008500DB">
        <w:rPr>
          <w:rFonts w:ascii="Arial" w:hAnsi="Arial" w:cs="Arial"/>
          <w:sz w:val="22"/>
          <w:szCs w:val="22"/>
        </w:rPr>
        <w:t>¿Cuál es su opinión frente al servicio brindado por IDESAN?</w:t>
      </w:r>
    </w:p>
    <w:p w:rsidR="002147DB" w:rsidRPr="008500DB" w:rsidRDefault="002147DB" w:rsidP="002147DB">
      <w:pPr>
        <w:rPr>
          <w:rFonts w:ascii="Arial" w:hAnsi="Arial" w:cs="Arial"/>
          <w:sz w:val="22"/>
          <w:szCs w:val="22"/>
        </w:rPr>
      </w:pPr>
    </w:p>
    <w:p w:rsidR="002147DB" w:rsidRDefault="002147DB" w:rsidP="002147DB">
      <w:pPr>
        <w:rPr>
          <w:rFonts w:ascii="Arial" w:hAnsi="Arial" w:cs="Arial"/>
          <w:sz w:val="22"/>
          <w:szCs w:val="22"/>
        </w:rPr>
      </w:pPr>
      <w:r w:rsidRPr="008500DB">
        <w:rPr>
          <w:rFonts w:ascii="Arial" w:hAnsi="Arial" w:cs="Arial"/>
          <w:noProof/>
          <w:sz w:val="22"/>
          <w:szCs w:val="22"/>
        </w:rPr>
        <w:drawing>
          <wp:inline distT="0" distB="0" distL="0" distR="0">
            <wp:extent cx="5372735" cy="2311400"/>
            <wp:effectExtent l="19050" t="0" r="1841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00DB" w:rsidRPr="008500DB" w:rsidRDefault="008500DB" w:rsidP="002147DB">
      <w:pPr>
        <w:rPr>
          <w:rFonts w:ascii="Arial" w:hAnsi="Arial" w:cs="Arial"/>
          <w:sz w:val="22"/>
          <w:szCs w:val="22"/>
        </w:rPr>
      </w:pPr>
    </w:p>
    <w:p w:rsidR="008500DB" w:rsidRDefault="008500DB" w:rsidP="002147DB">
      <w:pPr>
        <w:rPr>
          <w:rFonts w:ascii="Arial" w:hAnsi="Arial" w:cs="Arial"/>
          <w:sz w:val="22"/>
          <w:szCs w:val="22"/>
        </w:rPr>
      </w:pPr>
      <w:r>
        <w:rPr>
          <w:rFonts w:ascii="Arial" w:hAnsi="Arial" w:cs="Arial"/>
          <w:sz w:val="22"/>
          <w:szCs w:val="22"/>
        </w:rPr>
        <w:t xml:space="preserve">4.2 </w:t>
      </w:r>
      <w:r w:rsidRPr="008500DB">
        <w:rPr>
          <w:rFonts w:ascii="Arial" w:hAnsi="Arial" w:cs="Arial"/>
          <w:sz w:val="22"/>
          <w:szCs w:val="22"/>
        </w:rPr>
        <w:t xml:space="preserve">Solicitaría nuevamente nuestros servicios?     </w:t>
      </w:r>
    </w:p>
    <w:p w:rsidR="002147DB" w:rsidRPr="008500DB" w:rsidRDefault="008500DB" w:rsidP="002147DB">
      <w:pPr>
        <w:rPr>
          <w:rFonts w:ascii="Arial" w:hAnsi="Arial" w:cs="Arial"/>
          <w:sz w:val="22"/>
          <w:szCs w:val="22"/>
        </w:rPr>
      </w:pPr>
      <w:r w:rsidRPr="008500DB">
        <w:rPr>
          <w:rFonts w:ascii="Arial" w:hAnsi="Arial" w:cs="Arial"/>
          <w:sz w:val="22"/>
          <w:szCs w:val="22"/>
        </w:rPr>
        <w:t>4.3 Recomendaría al IDESAN por su servicios?</w:t>
      </w:r>
    </w:p>
    <w:p w:rsidR="002147DB" w:rsidRPr="008500DB" w:rsidRDefault="002147DB" w:rsidP="002147DB">
      <w:pPr>
        <w:rPr>
          <w:rFonts w:ascii="Arial" w:hAnsi="Arial" w:cs="Arial"/>
          <w:sz w:val="22"/>
          <w:szCs w:val="22"/>
        </w:rPr>
      </w:pPr>
      <w:r w:rsidRPr="008500DB">
        <w:rPr>
          <w:rFonts w:ascii="Arial" w:hAnsi="Arial" w:cs="Arial"/>
          <w:noProof/>
          <w:sz w:val="22"/>
          <w:szCs w:val="22"/>
        </w:rPr>
        <w:drawing>
          <wp:inline distT="0" distB="0" distL="0" distR="0">
            <wp:extent cx="5060950" cy="2105025"/>
            <wp:effectExtent l="0" t="0" r="19050" b="285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47DB" w:rsidRPr="008500DB" w:rsidRDefault="002147DB" w:rsidP="002147DB">
      <w:pPr>
        <w:pStyle w:val="Ttulo5"/>
        <w:rPr>
          <w:rFonts w:ascii="Arial" w:hAnsi="Arial" w:cs="Arial"/>
          <w:sz w:val="22"/>
          <w:szCs w:val="22"/>
        </w:rPr>
      </w:pPr>
      <w:r w:rsidRPr="008500DB">
        <w:rPr>
          <w:rFonts w:ascii="Arial" w:hAnsi="Arial" w:cs="Arial"/>
          <w:sz w:val="22"/>
          <w:szCs w:val="22"/>
        </w:rPr>
        <w:t xml:space="preserve">QUEJAS Y RECLAMOS </w:t>
      </w:r>
    </w:p>
    <w:p w:rsidR="002147DB" w:rsidRPr="008500DB" w:rsidRDefault="002147DB" w:rsidP="002147DB">
      <w:pPr>
        <w:rPr>
          <w:rFonts w:ascii="Arial" w:hAnsi="Arial" w:cs="Arial"/>
          <w:sz w:val="22"/>
          <w:szCs w:val="22"/>
        </w:rPr>
      </w:pPr>
    </w:p>
    <w:p w:rsidR="002147DB" w:rsidRPr="008500DB" w:rsidRDefault="002147DB" w:rsidP="002147DB">
      <w:pPr>
        <w:tabs>
          <w:tab w:val="left" w:pos="360"/>
        </w:tabs>
        <w:jc w:val="both"/>
        <w:rPr>
          <w:rFonts w:ascii="Arial" w:hAnsi="Arial" w:cs="Arial"/>
          <w:sz w:val="22"/>
          <w:szCs w:val="22"/>
        </w:rPr>
      </w:pPr>
      <w:r w:rsidRPr="008500DB">
        <w:rPr>
          <w:rFonts w:ascii="Arial" w:hAnsi="Arial" w:cs="Arial"/>
          <w:sz w:val="22"/>
          <w:szCs w:val="22"/>
        </w:rPr>
        <w:t>Para el Segundo semestre de 2014 no se presentaron Quejas ni reclamos.</w:t>
      </w:r>
    </w:p>
    <w:p w:rsidR="002147DB" w:rsidRDefault="002147DB" w:rsidP="002147DB">
      <w:pPr>
        <w:tabs>
          <w:tab w:val="left" w:pos="360"/>
        </w:tabs>
        <w:jc w:val="both"/>
        <w:rPr>
          <w:rFonts w:ascii="Arial" w:hAnsi="Arial" w:cs="Arial"/>
          <w:b/>
          <w:bCs/>
          <w:color w:val="008000"/>
          <w:sz w:val="22"/>
          <w:szCs w:val="22"/>
        </w:rPr>
      </w:pPr>
    </w:p>
    <w:p w:rsidR="008500DB" w:rsidRDefault="008500DB" w:rsidP="002147DB">
      <w:pPr>
        <w:tabs>
          <w:tab w:val="left" w:pos="360"/>
        </w:tabs>
        <w:jc w:val="both"/>
        <w:rPr>
          <w:rFonts w:ascii="Arial" w:hAnsi="Arial" w:cs="Arial"/>
          <w:b/>
          <w:bCs/>
          <w:color w:val="008000"/>
          <w:sz w:val="22"/>
          <w:szCs w:val="22"/>
        </w:rPr>
      </w:pPr>
    </w:p>
    <w:p w:rsidR="002147DB" w:rsidRPr="008500DB" w:rsidRDefault="002147DB" w:rsidP="002147DB">
      <w:pPr>
        <w:tabs>
          <w:tab w:val="left" w:pos="360"/>
        </w:tabs>
        <w:jc w:val="both"/>
        <w:rPr>
          <w:rFonts w:ascii="Arial" w:hAnsi="Arial" w:cs="Arial"/>
          <w:b/>
          <w:bCs/>
          <w:color w:val="008000"/>
          <w:sz w:val="22"/>
          <w:szCs w:val="22"/>
        </w:rPr>
      </w:pPr>
      <w:r w:rsidRPr="008500DB">
        <w:rPr>
          <w:rFonts w:ascii="Arial" w:hAnsi="Arial" w:cs="Arial"/>
          <w:b/>
          <w:bCs/>
          <w:color w:val="008000"/>
          <w:sz w:val="22"/>
          <w:szCs w:val="22"/>
        </w:rPr>
        <w:t>4.     DESEMPEÑO DE LOS PROCESOS Y CONFORMIDAD DEL SERVICIO.</w:t>
      </w:r>
    </w:p>
    <w:p w:rsidR="002147DB" w:rsidRPr="008500DB" w:rsidRDefault="002147DB" w:rsidP="002147DB">
      <w:pPr>
        <w:pStyle w:val="Ttulo7"/>
        <w:rPr>
          <w:rFonts w:ascii="Arial" w:hAnsi="Arial" w:cs="Arial"/>
          <w:b/>
          <w:i w:val="0"/>
          <w:sz w:val="22"/>
          <w:szCs w:val="22"/>
        </w:rPr>
      </w:pPr>
      <w:r w:rsidRPr="008500DB">
        <w:rPr>
          <w:rFonts w:ascii="Arial" w:hAnsi="Arial" w:cs="Arial"/>
          <w:i w:val="0"/>
          <w:sz w:val="22"/>
          <w:szCs w:val="22"/>
        </w:rPr>
        <w:t>Se procedió a realizar la revisión del desempeño de los procesos MISIONALES DEL INSTITUTO.</w:t>
      </w:r>
    </w:p>
    <w:p w:rsidR="002147DB" w:rsidRPr="008500DB" w:rsidRDefault="002147DB" w:rsidP="002147DB">
      <w:pPr>
        <w:tabs>
          <w:tab w:val="left" w:pos="360"/>
        </w:tabs>
        <w:jc w:val="both"/>
        <w:rPr>
          <w:rFonts w:ascii="Arial" w:hAnsi="Arial" w:cs="Arial"/>
          <w:sz w:val="22"/>
          <w:szCs w:val="22"/>
        </w:rPr>
      </w:pPr>
    </w:p>
    <w:p w:rsidR="008500DB" w:rsidRDefault="008500DB" w:rsidP="002147DB">
      <w:pPr>
        <w:tabs>
          <w:tab w:val="left" w:pos="360"/>
        </w:tabs>
        <w:jc w:val="both"/>
        <w:rPr>
          <w:rFonts w:ascii="Arial" w:hAnsi="Arial" w:cs="Arial"/>
          <w:b/>
          <w:bCs/>
          <w:color w:val="008000"/>
          <w:sz w:val="22"/>
          <w:szCs w:val="22"/>
        </w:rPr>
      </w:pPr>
    </w:p>
    <w:p w:rsidR="002147DB" w:rsidRPr="008500DB" w:rsidRDefault="002147DB" w:rsidP="002147DB">
      <w:pPr>
        <w:tabs>
          <w:tab w:val="left" w:pos="360"/>
        </w:tabs>
        <w:jc w:val="both"/>
        <w:rPr>
          <w:rFonts w:ascii="Arial" w:hAnsi="Arial" w:cs="Arial"/>
          <w:color w:val="008000"/>
          <w:sz w:val="22"/>
          <w:szCs w:val="22"/>
        </w:rPr>
      </w:pPr>
      <w:r w:rsidRPr="008500DB">
        <w:rPr>
          <w:rFonts w:ascii="Arial" w:hAnsi="Arial" w:cs="Arial"/>
          <w:b/>
          <w:bCs/>
          <w:color w:val="008000"/>
          <w:sz w:val="22"/>
          <w:szCs w:val="22"/>
        </w:rPr>
        <w:t>4.1 PROCESO DE GESTION DE CREDITOS</w:t>
      </w:r>
      <w:r w:rsidRPr="008500DB">
        <w:rPr>
          <w:rFonts w:ascii="Arial" w:hAnsi="Arial" w:cs="Arial"/>
          <w:color w:val="008000"/>
          <w:sz w:val="22"/>
          <w:szCs w:val="22"/>
        </w:rPr>
        <w:t>.</w:t>
      </w:r>
    </w:p>
    <w:p w:rsidR="002147DB" w:rsidRPr="008500DB" w:rsidRDefault="002147DB" w:rsidP="002147DB">
      <w:pPr>
        <w:tabs>
          <w:tab w:val="left" w:pos="360"/>
        </w:tabs>
        <w:jc w:val="both"/>
        <w:rPr>
          <w:rFonts w:ascii="Arial" w:hAnsi="Arial" w:cs="Arial"/>
          <w:sz w:val="22"/>
          <w:szCs w:val="22"/>
        </w:rPr>
      </w:pPr>
    </w:p>
    <w:p w:rsidR="002147DB" w:rsidRPr="008500DB" w:rsidRDefault="002147DB" w:rsidP="002147DB">
      <w:pPr>
        <w:tabs>
          <w:tab w:val="left" w:pos="360"/>
        </w:tabs>
        <w:jc w:val="both"/>
        <w:rPr>
          <w:rFonts w:ascii="Arial" w:hAnsi="Arial" w:cs="Arial"/>
          <w:sz w:val="22"/>
          <w:szCs w:val="22"/>
        </w:rPr>
      </w:pPr>
      <w:r w:rsidRPr="008500DB">
        <w:rPr>
          <w:rFonts w:ascii="Arial" w:hAnsi="Arial" w:cs="Arial"/>
          <w:sz w:val="22"/>
          <w:szCs w:val="22"/>
        </w:rPr>
        <w:t>La Dra. Martha Montero, entrego informe de Auto evaluación de la Gestión y  expuso los indicadores de Gestión del Proceso así:</w:t>
      </w:r>
    </w:p>
    <w:p w:rsidR="002147DB" w:rsidRPr="008500DB" w:rsidRDefault="002147DB" w:rsidP="002147DB">
      <w:pPr>
        <w:tabs>
          <w:tab w:val="left" w:pos="360"/>
        </w:tabs>
        <w:jc w:val="both"/>
        <w:rPr>
          <w:rFonts w:ascii="Arial" w:hAnsi="Arial" w:cs="Arial"/>
          <w:sz w:val="22"/>
          <w:szCs w:val="22"/>
        </w:rPr>
      </w:pPr>
    </w:p>
    <w:p w:rsidR="008A210D" w:rsidRDefault="00785537" w:rsidP="002147DB">
      <w:pPr>
        <w:tabs>
          <w:tab w:val="left" w:pos="360"/>
        </w:tabs>
        <w:jc w:val="both"/>
        <w:rPr>
          <w:rFonts w:ascii="Arial" w:hAnsi="Arial" w:cs="Arial"/>
          <w:sz w:val="22"/>
          <w:szCs w:val="22"/>
        </w:rPr>
      </w:pPr>
      <w:r w:rsidRPr="00785537">
        <w:rPr>
          <w:rFonts w:ascii="Arial" w:hAnsi="Arial" w:cs="Arial"/>
          <w:noProof/>
          <w:sz w:val="22"/>
          <w:szCs w:val="22"/>
        </w:rPr>
        <w:drawing>
          <wp:inline distT="0" distB="0" distL="0" distR="0">
            <wp:extent cx="5491204" cy="2822740"/>
            <wp:effectExtent l="19050" t="0" r="14246" b="1571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5537" w:rsidRPr="008500DB" w:rsidRDefault="00785537" w:rsidP="002147DB">
      <w:pPr>
        <w:tabs>
          <w:tab w:val="left" w:pos="360"/>
        </w:tabs>
        <w:jc w:val="both"/>
        <w:rPr>
          <w:rFonts w:ascii="Arial" w:hAnsi="Arial" w:cs="Arial"/>
          <w:sz w:val="22"/>
          <w:szCs w:val="22"/>
        </w:rPr>
      </w:pPr>
      <w:r w:rsidRPr="000A724C">
        <w:rPr>
          <w:rFonts w:ascii="Arial" w:hAnsi="Arial" w:cs="Arial"/>
          <w:sz w:val="22"/>
          <w:szCs w:val="22"/>
        </w:rPr>
        <w:t xml:space="preserve">En </w:t>
      </w:r>
      <w:r>
        <w:rPr>
          <w:rFonts w:ascii="Arial" w:hAnsi="Arial" w:cs="Arial"/>
          <w:sz w:val="22"/>
          <w:szCs w:val="22"/>
        </w:rPr>
        <w:t>el cuarto</w:t>
      </w:r>
      <w:r w:rsidRPr="000A724C">
        <w:rPr>
          <w:rFonts w:ascii="Arial" w:hAnsi="Arial" w:cs="Arial"/>
          <w:sz w:val="22"/>
          <w:szCs w:val="22"/>
        </w:rPr>
        <w:t xml:space="preserve"> trimestre </w:t>
      </w:r>
      <w:r>
        <w:rPr>
          <w:rFonts w:ascii="Arial" w:hAnsi="Arial" w:cs="Arial"/>
          <w:sz w:val="22"/>
          <w:szCs w:val="22"/>
        </w:rPr>
        <w:t xml:space="preserve">del 2014 </w:t>
      </w:r>
      <w:r w:rsidRPr="000A724C">
        <w:rPr>
          <w:rFonts w:ascii="Arial" w:hAnsi="Arial" w:cs="Arial"/>
          <w:sz w:val="22"/>
          <w:szCs w:val="22"/>
        </w:rPr>
        <w:t xml:space="preserve">se desembolsaron </w:t>
      </w:r>
      <w:r>
        <w:rPr>
          <w:rFonts w:ascii="Arial" w:hAnsi="Arial" w:cs="Arial"/>
          <w:sz w:val="22"/>
          <w:szCs w:val="22"/>
        </w:rPr>
        <w:t>$37</w:t>
      </w:r>
      <w:r w:rsidRPr="004E5E4C">
        <w:rPr>
          <w:rFonts w:ascii="Arial" w:hAnsi="Arial" w:cs="Arial"/>
          <w:sz w:val="22"/>
          <w:szCs w:val="22"/>
        </w:rPr>
        <w:t>1</w:t>
      </w:r>
      <w:r>
        <w:rPr>
          <w:rFonts w:ascii="Arial" w:hAnsi="Arial" w:cs="Arial"/>
          <w:sz w:val="22"/>
          <w:szCs w:val="22"/>
        </w:rPr>
        <w:t>.441.67</w:t>
      </w:r>
      <w:r w:rsidRPr="004E5E4C">
        <w:rPr>
          <w:rFonts w:ascii="Arial" w:hAnsi="Arial" w:cs="Arial"/>
          <w:sz w:val="22"/>
          <w:szCs w:val="22"/>
        </w:rPr>
        <w:t>1</w:t>
      </w:r>
      <w:r>
        <w:rPr>
          <w:rFonts w:ascii="Arial" w:hAnsi="Arial" w:cs="Arial"/>
          <w:sz w:val="22"/>
          <w:szCs w:val="22"/>
        </w:rPr>
        <w:t xml:space="preserve">.oo en </w:t>
      </w:r>
      <w:r w:rsidRPr="000A724C">
        <w:rPr>
          <w:rFonts w:ascii="Arial" w:hAnsi="Arial" w:cs="Arial"/>
          <w:sz w:val="22"/>
          <w:szCs w:val="22"/>
        </w:rPr>
        <w:t>créditos educativos</w:t>
      </w:r>
    </w:p>
    <w:p w:rsidR="008A210D" w:rsidRPr="008500DB" w:rsidRDefault="008A210D" w:rsidP="002147DB">
      <w:pPr>
        <w:tabs>
          <w:tab w:val="left" w:pos="360"/>
        </w:tabs>
        <w:jc w:val="both"/>
        <w:rPr>
          <w:rFonts w:ascii="Arial" w:hAnsi="Arial" w:cs="Arial"/>
          <w:sz w:val="22"/>
          <w:szCs w:val="22"/>
        </w:rPr>
      </w:pPr>
    </w:p>
    <w:p w:rsidR="008A210D" w:rsidRDefault="00785537" w:rsidP="00785537">
      <w:pPr>
        <w:tabs>
          <w:tab w:val="left" w:pos="360"/>
        </w:tabs>
        <w:jc w:val="center"/>
        <w:rPr>
          <w:rFonts w:ascii="Arial" w:hAnsi="Arial" w:cs="Arial"/>
          <w:sz w:val="22"/>
          <w:szCs w:val="22"/>
        </w:rPr>
      </w:pPr>
      <w:r w:rsidRPr="00785537">
        <w:rPr>
          <w:rFonts w:ascii="Arial" w:hAnsi="Arial" w:cs="Arial"/>
          <w:noProof/>
          <w:sz w:val="22"/>
          <w:szCs w:val="22"/>
        </w:rPr>
        <w:lastRenderedPageBreak/>
        <w:drawing>
          <wp:inline distT="0" distB="0" distL="0" distR="0">
            <wp:extent cx="4241800" cy="2841625"/>
            <wp:effectExtent l="19050" t="0" r="25400"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5537" w:rsidRDefault="00785537" w:rsidP="00785537">
      <w:pPr>
        <w:tabs>
          <w:tab w:val="left" w:pos="360"/>
        </w:tabs>
        <w:jc w:val="center"/>
        <w:rPr>
          <w:rFonts w:ascii="Arial" w:hAnsi="Arial" w:cs="Arial"/>
          <w:sz w:val="22"/>
          <w:szCs w:val="22"/>
        </w:rPr>
      </w:pPr>
    </w:p>
    <w:p w:rsidR="00785537" w:rsidRPr="008500DB" w:rsidRDefault="00785537" w:rsidP="00785537">
      <w:pPr>
        <w:tabs>
          <w:tab w:val="left" w:pos="360"/>
        </w:tabs>
        <w:jc w:val="both"/>
        <w:rPr>
          <w:rFonts w:ascii="Arial" w:hAnsi="Arial" w:cs="Arial"/>
          <w:sz w:val="22"/>
          <w:szCs w:val="22"/>
        </w:rPr>
      </w:pPr>
      <w:r>
        <w:rPr>
          <w:rFonts w:ascii="Arial" w:hAnsi="Arial" w:cs="Arial"/>
          <w:sz w:val="22"/>
          <w:szCs w:val="22"/>
        </w:rPr>
        <w:t>En el segundo semestre del 2014, se apoyaron 375 jóvenes, superando la meta planteada durante el año que eran de 700 jóvenes en el 2014.</w:t>
      </w:r>
    </w:p>
    <w:p w:rsidR="008A210D" w:rsidRPr="008500DB" w:rsidRDefault="008A210D" w:rsidP="002147DB">
      <w:pPr>
        <w:tabs>
          <w:tab w:val="left" w:pos="360"/>
        </w:tabs>
        <w:jc w:val="both"/>
        <w:rPr>
          <w:rFonts w:ascii="Arial" w:hAnsi="Arial" w:cs="Arial"/>
          <w:noProof/>
          <w:sz w:val="22"/>
          <w:szCs w:val="22"/>
        </w:rPr>
      </w:pPr>
    </w:p>
    <w:p w:rsidR="008A210D" w:rsidRPr="008500DB" w:rsidRDefault="003177B9" w:rsidP="002147DB">
      <w:pPr>
        <w:tabs>
          <w:tab w:val="left" w:pos="360"/>
        </w:tabs>
        <w:jc w:val="both"/>
        <w:rPr>
          <w:rFonts w:ascii="Arial" w:hAnsi="Arial" w:cs="Arial"/>
          <w:sz w:val="22"/>
          <w:szCs w:val="22"/>
        </w:rPr>
      </w:pPr>
      <w:r w:rsidRPr="003177B9">
        <w:rPr>
          <w:rFonts w:ascii="Arial" w:hAnsi="Arial" w:cs="Arial"/>
          <w:noProof/>
          <w:sz w:val="22"/>
          <w:szCs w:val="22"/>
        </w:rPr>
        <w:drawing>
          <wp:inline distT="0" distB="0" distL="0" distR="0">
            <wp:extent cx="5534798" cy="2568271"/>
            <wp:effectExtent l="19050" t="0" r="27802" b="22529"/>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177B9" w:rsidRPr="00675025" w:rsidRDefault="003177B9" w:rsidP="003177B9">
      <w:pPr>
        <w:jc w:val="both"/>
        <w:rPr>
          <w:rFonts w:ascii="Arial" w:hAnsi="Arial" w:cs="Arial"/>
          <w:sz w:val="22"/>
          <w:szCs w:val="22"/>
        </w:rPr>
      </w:pPr>
      <w:r w:rsidRPr="00675025">
        <w:rPr>
          <w:rFonts w:ascii="Arial" w:hAnsi="Arial" w:cs="Arial"/>
          <w:sz w:val="22"/>
          <w:szCs w:val="22"/>
        </w:rPr>
        <w:t xml:space="preserve">Teniendo </w:t>
      </w:r>
      <w:r>
        <w:rPr>
          <w:rFonts w:ascii="Arial" w:hAnsi="Arial" w:cs="Arial"/>
          <w:sz w:val="22"/>
          <w:szCs w:val="22"/>
        </w:rPr>
        <w:t>en cuenta que la modalidad de Tesorería es de Corto Plazo se anexa a este indicador los valores quedando así el valor del indicador de  $5.273.608.391</w:t>
      </w:r>
      <w:r w:rsidRPr="004E5E4C">
        <w:rPr>
          <w:rFonts w:ascii="Arial" w:hAnsi="Arial" w:cs="Arial"/>
          <w:sz w:val="22"/>
          <w:szCs w:val="22"/>
        </w:rPr>
        <w:t xml:space="preserve"> </w:t>
      </w:r>
    </w:p>
    <w:p w:rsidR="008A210D" w:rsidRPr="008500DB" w:rsidRDefault="008A210D" w:rsidP="002147DB">
      <w:pPr>
        <w:tabs>
          <w:tab w:val="left" w:pos="360"/>
        </w:tabs>
        <w:jc w:val="both"/>
        <w:rPr>
          <w:rFonts w:ascii="Arial" w:hAnsi="Arial" w:cs="Arial"/>
          <w:sz w:val="22"/>
          <w:szCs w:val="22"/>
        </w:rPr>
      </w:pPr>
    </w:p>
    <w:p w:rsidR="006568C8" w:rsidRDefault="006568C8" w:rsidP="002147DB">
      <w:pPr>
        <w:tabs>
          <w:tab w:val="left" w:pos="360"/>
        </w:tabs>
        <w:jc w:val="both"/>
        <w:rPr>
          <w:rFonts w:ascii="Arial" w:hAnsi="Arial" w:cs="Arial"/>
          <w:sz w:val="22"/>
          <w:szCs w:val="22"/>
        </w:rPr>
      </w:pPr>
    </w:p>
    <w:p w:rsidR="006568C8" w:rsidRDefault="006568C8" w:rsidP="002147DB">
      <w:pPr>
        <w:tabs>
          <w:tab w:val="left" w:pos="360"/>
        </w:tabs>
        <w:jc w:val="both"/>
        <w:rPr>
          <w:rFonts w:ascii="Arial" w:hAnsi="Arial" w:cs="Arial"/>
          <w:sz w:val="22"/>
          <w:szCs w:val="22"/>
        </w:rPr>
      </w:pPr>
      <w:r w:rsidRPr="006568C8">
        <w:rPr>
          <w:rFonts w:ascii="Arial" w:hAnsi="Arial" w:cs="Arial"/>
          <w:noProof/>
          <w:sz w:val="22"/>
          <w:szCs w:val="22"/>
        </w:rPr>
        <w:lastRenderedPageBreak/>
        <w:drawing>
          <wp:inline distT="0" distB="0" distL="0" distR="0">
            <wp:extent cx="4222751" cy="2860675"/>
            <wp:effectExtent l="19050" t="0" r="25399" b="0"/>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568C8" w:rsidRDefault="006568C8" w:rsidP="002147DB">
      <w:pPr>
        <w:tabs>
          <w:tab w:val="left" w:pos="360"/>
        </w:tabs>
        <w:jc w:val="both"/>
        <w:rPr>
          <w:rFonts w:ascii="Arial" w:hAnsi="Arial" w:cs="Arial"/>
          <w:sz w:val="22"/>
          <w:szCs w:val="22"/>
        </w:rPr>
      </w:pPr>
    </w:p>
    <w:p w:rsidR="006568C8" w:rsidRDefault="006568C8" w:rsidP="002147DB">
      <w:pPr>
        <w:tabs>
          <w:tab w:val="left" w:pos="360"/>
        </w:tabs>
        <w:jc w:val="both"/>
        <w:rPr>
          <w:rFonts w:ascii="Arial" w:hAnsi="Arial" w:cs="Arial"/>
          <w:sz w:val="22"/>
          <w:szCs w:val="22"/>
        </w:rPr>
      </w:pPr>
      <w:r>
        <w:rPr>
          <w:rFonts w:ascii="Arial" w:hAnsi="Arial" w:cs="Arial"/>
          <w:sz w:val="22"/>
          <w:szCs w:val="22"/>
        </w:rPr>
        <w:t>El valor en créditos para el segundo semestre de 2014 es de $86.523.145.537 superando la meta que es de $70.000.000.000</w:t>
      </w:r>
    </w:p>
    <w:p w:rsidR="006568C8" w:rsidRDefault="006568C8" w:rsidP="002147DB">
      <w:pPr>
        <w:tabs>
          <w:tab w:val="left" w:pos="360"/>
        </w:tabs>
        <w:jc w:val="both"/>
        <w:rPr>
          <w:rFonts w:ascii="Arial" w:hAnsi="Arial" w:cs="Arial"/>
          <w:sz w:val="22"/>
          <w:szCs w:val="22"/>
        </w:rPr>
      </w:pPr>
    </w:p>
    <w:p w:rsidR="006568C8" w:rsidRDefault="006568C8" w:rsidP="002147DB">
      <w:pPr>
        <w:tabs>
          <w:tab w:val="left" w:pos="360"/>
        </w:tabs>
        <w:jc w:val="both"/>
        <w:rPr>
          <w:rFonts w:ascii="Arial" w:hAnsi="Arial" w:cs="Arial"/>
          <w:sz w:val="22"/>
          <w:szCs w:val="22"/>
        </w:rPr>
      </w:pPr>
    </w:p>
    <w:p w:rsidR="006568C8" w:rsidRDefault="006568C8" w:rsidP="002147DB">
      <w:pPr>
        <w:tabs>
          <w:tab w:val="left" w:pos="360"/>
        </w:tabs>
        <w:jc w:val="both"/>
        <w:rPr>
          <w:rFonts w:ascii="Arial" w:hAnsi="Arial" w:cs="Arial"/>
          <w:sz w:val="22"/>
          <w:szCs w:val="22"/>
        </w:rPr>
      </w:pPr>
      <w:r w:rsidRPr="006568C8">
        <w:rPr>
          <w:rFonts w:ascii="Arial" w:hAnsi="Arial" w:cs="Arial"/>
          <w:noProof/>
          <w:sz w:val="22"/>
          <w:szCs w:val="22"/>
        </w:rPr>
        <w:drawing>
          <wp:inline distT="0" distB="0" distL="0" distR="0">
            <wp:extent cx="4289425" cy="2841625"/>
            <wp:effectExtent l="19050" t="0" r="15875" b="15875"/>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68C8" w:rsidRDefault="006568C8" w:rsidP="002147DB">
      <w:pPr>
        <w:tabs>
          <w:tab w:val="left" w:pos="360"/>
        </w:tabs>
        <w:jc w:val="both"/>
        <w:rPr>
          <w:rFonts w:ascii="Arial" w:hAnsi="Arial" w:cs="Arial"/>
          <w:sz w:val="22"/>
          <w:szCs w:val="22"/>
        </w:rPr>
      </w:pPr>
    </w:p>
    <w:p w:rsidR="008A210D" w:rsidRPr="008500DB" w:rsidRDefault="008A210D" w:rsidP="002147DB">
      <w:pPr>
        <w:tabs>
          <w:tab w:val="left" w:pos="360"/>
        </w:tabs>
        <w:jc w:val="both"/>
        <w:rPr>
          <w:rFonts w:ascii="Arial" w:hAnsi="Arial" w:cs="Arial"/>
          <w:sz w:val="22"/>
          <w:szCs w:val="22"/>
        </w:rPr>
      </w:pPr>
    </w:p>
    <w:p w:rsidR="002147DB" w:rsidRDefault="002147DB" w:rsidP="002147DB">
      <w:pPr>
        <w:tabs>
          <w:tab w:val="left" w:pos="360"/>
        </w:tabs>
        <w:jc w:val="both"/>
        <w:rPr>
          <w:rFonts w:ascii="Arial" w:hAnsi="Arial" w:cs="Arial"/>
          <w:b/>
          <w:sz w:val="22"/>
          <w:szCs w:val="22"/>
        </w:rPr>
      </w:pPr>
    </w:p>
    <w:p w:rsidR="002147DB" w:rsidRDefault="002147DB" w:rsidP="002147DB">
      <w:pPr>
        <w:tabs>
          <w:tab w:val="left" w:pos="360"/>
        </w:tabs>
        <w:jc w:val="both"/>
        <w:rPr>
          <w:rFonts w:ascii="Arial" w:hAnsi="Arial" w:cs="Arial"/>
          <w:b/>
          <w:sz w:val="22"/>
          <w:szCs w:val="22"/>
        </w:rPr>
      </w:pPr>
    </w:p>
    <w:p w:rsidR="002147DB" w:rsidRDefault="006568C8" w:rsidP="002147DB">
      <w:pPr>
        <w:tabs>
          <w:tab w:val="left" w:pos="360"/>
        </w:tabs>
        <w:jc w:val="both"/>
        <w:rPr>
          <w:rFonts w:ascii="Arial" w:hAnsi="Arial" w:cs="Arial"/>
          <w:b/>
          <w:sz w:val="22"/>
          <w:szCs w:val="22"/>
        </w:rPr>
      </w:pPr>
      <w:r w:rsidRPr="006568C8">
        <w:rPr>
          <w:rFonts w:ascii="Arial" w:hAnsi="Arial" w:cs="Arial"/>
          <w:b/>
          <w:noProof/>
          <w:sz w:val="22"/>
          <w:szCs w:val="22"/>
        </w:rPr>
        <w:lastRenderedPageBreak/>
        <w:drawing>
          <wp:inline distT="0" distB="0" distL="0" distR="0">
            <wp:extent cx="4194175" cy="2784474"/>
            <wp:effectExtent l="19050" t="0" r="15875" b="0"/>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A210D" w:rsidRDefault="008A210D" w:rsidP="002147DB">
      <w:pPr>
        <w:tabs>
          <w:tab w:val="left" w:pos="360"/>
        </w:tabs>
        <w:jc w:val="both"/>
        <w:rPr>
          <w:rFonts w:ascii="Arial" w:hAnsi="Arial" w:cs="Arial"/>
          <w:b/>
          <w:sz w:val="22"/>
          <w:szCs w:val="22"/>
        </w:rPr>
      </w:pPr>
    </w:p>
    <w:p w:rsidR="008A210D" w:rsidRDefault="008A210D" w:rsidP="002147DB">
      <w:pPr>
        <w:tabs>
          <w:tab w:val="left" w:pos="360"/>
        </w:tabs>
        <w:jc w:val="both"/>
        <w:rPr>
          <w:rFonts w:ascii="Arial" w:hAnsi="Arial" w:cs="Arial"/>
          <w:b/>
          <w:sz w:val="22"/>
          <w:szCs w:val="22"/>
        </w:rPr>
      </w:pPr>
    </w:p>
    <w:p w:rsidR="008A210D" w:rsidRDefault="008A210D" w:rsidP="002147DB">
      <w:pPr>
        <w:tabs>
          <w:tab w:val="left" w:pos="360"/>
        </w:tabs>
        <w:jc w:val="both"/>
        <w:rPr>
          <w:rFonts w:ascii="Arial" w:hAnsi="Arial" w:cs="Arial"/>
          <w:b/>
          <w:sz w:val="22"/>
          <w:szCs w:val="22"/>
        </w:rPr>
      </w:pPr>
    </w:p>
    <w:p w:rsidR="008A210D" w:rsidRDefault="008A210D" w:rsidP="002147DB">
      <w:pPr>
        <w:tabs>
          <w:tab w:val="left" w:pos="360"/>
        </w:tabs>
        <w:jc w:val="both"/>
        <w:rPr>
          <w:rFonts w:ascii="Arial" w:hAnsi="Arial" w:cs="Arial"/>
          <w:b/>
          <w:sz w:val="22"/>
          <w:szCs w:val="22"/>
        </w:rPr>
      </w:pPr>
    </w:p>
    <w:p w:rsidR="00D80C6F" w:rsidRPr="008C1604" w:rsidRDefault="00D80C6F" w:rsidP="00D80C6F">
      <w:pPr>
        <w:tabs>
          <w:tab w:val="left" w:pos="360"/>
        </w:tabs>
        <w:jc w:val="both"/>
        <w:rPr>
          <w:rFonts w:ascii="Arial" w:hAnsi="Arial" w:cs="Arial"/>
          <w:color w:val="008000"/>
          <w:szCs w:val="14"/>
        </w:rPr>
      </w:pPr>
      <w:r>
        <w:rPr>
          <w:rFonts w:ascii="Arial" w:hAnsi="Arial" w:cs="Arial"/>
          <w:b/>
          <w:bCs/>
          <w:color w:val="008000"/>
          <w:szCs w:val="14"/>
        </w:rPr>
        <w:t>4</w:t>
      </w:r>
      <w:r w:rsidRPr="008C1604">
        <w:rPr>
          <w:rFonts w:ascii="Arial" w:hAnsi="Arial" w:cs="Arial"/>
          <w:b/>
          <w:bCs/>
          <w:color w:val="008000"/>
          <w:szCs w:val="14"/>
        </w:rPr>
        <w:t>.2 PROCESO DE GESTION DE CARTERA</w:t>
      </w:r>
    </w:p>
    <w:p w:rsidR="00D80C6F" w:rsidRPr="008C1604" w:rsidRDefault="00D80C6F" w:rsidP="00D80C6F">
      <w:pPr>
        <w:tabs>
          <w:tab w:val="left" w:pos="360"/>
        </w:tabs>
        <w:jc w:val="both"/>
        <w:rPr>
          <w:rFonts w:ascii="Arial" w:hAnsi="Arial" w:cs="Arial"/>
          <w:szCs w:val="14"/>
        </w:rPr>
      </w:pPr>
    </w:p>
    <w:p w:rsidR="00D80C6F" w:rsidRDefault="00D80C6F" w:rsidP="00D80C6F">
      <w:pPr>
        <w:tabs>
          <w:tab w:val="left" w:pos="360"/>
        </w:tabs>
        <w:jc w:val="both"/>
        <w:rPr>
          <w:rFonts w:ascii="Arial" w:hAnsi="Arial" w:cs="Arial"/>
          <w:szCs w:val="14"/>
        </w:rPr>
      </w:pPr>
      <w:r w:rsidRPr="008C1604">
        <w:rPr>
          <w:rFonts w:ascii="Arial" w:hAnsi="Arial" w:cs="Arial"/>
          <w:szCs w:val="14"/>
        </w:rPr>
        <w:t>La Dra. Azucena Pabón, entrego informe de Auto evaluación de la Gestión y  expuso los indicadores de Gestión del Proceso así:</w:t>
      </w:r>
    </w:p>
    <w:p w:rsidR="00D80C6F" w:rsidRDefault="00D80C6F" w:rsidP="00D80C6F">
      <w:pPr>
        <w:tabs>
          <w:tab w:val="left" w:pos="360"/>
        </w:tabs>
        <w:jc w:val="both"/>
        <w:rPr>
          <w:rFonts w:ascii="Arial" w:hAnsi="Arial" w:cs="Arial"/>
          <w:szCs w:val="14"/>
        </w:rPr>
      </w:pPr>
    </w:p>
    <w:p w:rsidR="00D80C6F" w:rsidRDefault="00D80C6F" w:rsidP="00D80C6F">
      <w:pPr>
        <w:tabs>
          <w:tab w:val="left" w:pos="360"/>
        </w:tabs>
        <w:jc w:val="both"/>
        <w:rPr>
          <w:rFonts w:ascii="Arial" w:hAnsi="Arial" w:cs="Arial"/>
          <w:b/>
          <w:szCs w:val="14"/>
        </w:rPr>
      </w:pPr>
      <w:r w:rsidRPr="008C1604">
        <w:rPr>
          <w:rFonts w:ascii="Arial" w:hAnsi="Arial" w:cs="Arial"/>
          <w:b/>
          <w:szCs w:val="14"/>
        </w:rPr>
        <w:t>PROVISION CARTERA</w:t>
      </w:r>
    </w:p>
    <w:p w:rsidR="00D80C6F" w:rsidRPr="008C1604" w:rsidRDefault="00D80C6F" w:rsidP="00D80C6F">
      <w:pPr>
        <w:tabs>
          <w:tab w:val="left" w:pos="360"/>
        </w:tabs>
        <w:jc w:val="center"/>
        <w:rPr>
          <w:rFonts w:ascii="Arial" w:hAnsi="Arial" w:cs="Arial"/>
          <w:szCs w:val="14"/>
        </w:rPr>
      </w:pPr>
    </w:p>
    <w:p w:rsidR="00D80C6F" w:rsidRDefault="005209BE" w:rsidP="00D80C6F">
      <w:pPr>
        <w:tabs>
          <w:tab w:val="left" w:pos="360"/>
        </w:tabs>
        <w:jc w:val="both"/>
        <w:rPr>
          <w:rFonts w:ascii="Arial" w:hAnsi="Arial" w:cs="Arial"/>
          <w:bCs/>
          <w:szCs w:val="12"/>
          <w:lang w:val="es-MX"/>
        </w:rPr>
      </w:pPr>
      <w:r>
        <w:rPr>
          <w:rFonts w:ascii="Arial" w:hAnsi="Arial" w:cs="Arial"/>
          <w:bCs/>
          <w:szCs w:val="12"/>
          <w:lang w:val="es-MX"/>
        </w:rPr>
        <w:t>L</w:t>
      </w:r>
      <w:r w:rsidRPr="00B72948">
        <w:rPr>
          <w:rFonts w:ascii="Arial" w:hAnsi="Arial" w:cs="Arial"/>
          <w:bCs/>
          <w:szCs w:val="12"/>
          <w:lang w:val="es-MX"/>
        </w:rPr>
        <w:t xml:space="preserve">a cartera presenta una provisión que equivale al </w:t>
      </w:r>
      <w:r>
        <w:rPr>
          <w:rFonts w:ascii="Arial" w:hAnsi="Arial" w:cs="Arial"/>
          <w:bCs/>
          <w:szCs w:val="12"/>
          <w:lang w:val="es-MX"/>
        </w:rPr>
        <w:t>110</w:t>
      </w:r>
      <w:r w:rsidRPr="00B72948">
        <w:rPr>
          <w:rFonts w:ascii="Arial" w:hAnsi="Arial" w:cs="Arial"/>
          <w:bCs/>
          <w:szCs w:val="12"/>
          <w:lang w:val="es-MX"/>
        </w:rPr>
        <w:t>% (provisión cartera/capital cartera vencida) $743.255.002,55/ 1.018.348.042,00</w:t>
      </w:r>
      <w:r>
        <w:rPr>
          <w:rFonts w:ascii="Arial" w:hAnsi="Arial" w:cs="Arial"/>
          <w:bCs/>
          <w:szCs w:val="12"/>
          <w:lang w:val="es-MX"/>
        </w:rPr>
        <w:t xml:space="preserve">  para el segundo trimestre de 2014</w:t>
      </w:r>
      <w:r w:rsidRPr="00B72948">
        <w:rPr>
          <w:rFonts w:ascii="Arial" w:hAnsi="Arial" w:cs="Arial"/>
          <w:bCs/>
          <w:szCs w:val="12"/>
          <w:lang w:val="es-MX"/>
        </w:rPr>
        <w:t>;  con este porcentaje estamos provisionando la totalidad de la cartera de acuerdo con los parámetros establecidos manual de riesgo crediticio M.R.C. información  coordinador financ</w:t>
      </w:r>
      <w:r>
        <w:rPr>
          <w:rFonts w:ascii="Arial" w:hAnsi="Arial" w:cs="Arial"/>
          <w:bCs/>
          <w:szCs w:val="12"/>
          <w:lang w:val="es-MX"/>
        </w:rPr>
        <w:t>iero</w:t>
      </w:r>
      <w:r w:rsidRPr="00B72948">
        <w:rPr>
          <w:rFonts w:ascii="Arial" w:hAnsi="Arial" w:cs="Arial"/>
          <w:bCs/>
          <w:szCs w:val="12"/>
          <w:lang w:val="es-MX"/>
        </w:rPr>
        <w:t>.</w:t>
      </w:r>
    </w:p>
    <w:p w:rsidR="00D80C6F" w:rsidRDefault="00D80C6F" w:rsidP="00D80C6F">
      <w:pPr>
        <w:tabs>
          <w:tab w:val="left" w:pos="360"/>
        </w:tabs>
        <w:jc w:val="both"/>
        <w:rPr>
          <w:rFonts w:ascii="Arial" w:hAnsi="Arial" w:cs="Arial"/>
          <w:sz w:val="16"/>
          <w:szCs w:val="14"/>
        </w:rPr>
      </w:pPr>
    </w:p>
    <w:p w:rsidR="00D80C6F" w:rsidRDefault="00D80C6F" w:rsidP="00D80C6F">
      <w:pPr>
        <w:tabs>
          <w:tab w:val="left" w:pos="360"/>
        </w:tabs>
        <w:jc w:val="both"/>
        <w:rPr>
          <w:rFonts w:ascii="Arial" w:hAnsi="Arial" w:cs="Arial"/>
          <w:b/>
          <w:bCs/>
          <w:szCs w:val="12"/>
          <w:lang w:val="es-MX"/>
        </w:rPr>
      </w:pPr>
      <w:r>
        <w:rPr>
          <w:rFonts w:ascii="Arial" w:hAnsi="Arial" w:cs="Arial"/>
          <w:b/>
          <w:bCs/>
          <w:szCs w:val="12"/>
          <w:lang w:val="es-MX"/>
        </w:rPr>
        <w:t>C</w:t>
      </w:r>
      <w:r w:rsidRPr="004273ED">
        <w:rPr>
          <w:rFonts w:ascii="Arial" w:hAnsi="Arial" w:cs="Arial"/>
          <w:b/>
          <w:bCs/>
          <w:szCs w:val="12"/>
          <w:lang w:val="es-MX"/>
        </w:rPr>
        <w:t>ARTERA VENCIDA</w:t>
      </w:r>
    </w:p>
    <w:p w:rsidR="00D80C6F" w:rsidRDefault="00D80C6F" w:rsidP="00D80C6F">
      <w:pPr>
        <w:tabs>
          <w:tab w:val="left" w:pos="360"/>
        </w:tabs>
        <w:jc w:val="both"/>
        <w:rPr>
          <w:rFonts w:ascii="Arial" w:hAnsi="Arial" w:cs="Arial"/>
          <w:b/>
          <w:bCs/>
          <w:szCs w:val="12"/>
          <w:lang w:val="es-MX"/>
        </w:rPr>
      </w:pPr>
    </w:p>
    <w:p w:rsidR="00D80C6F" w:rsidRPr="00D80C6F" w:rsidRDefault="005209BE" w:rsidP="00D80C6F">
      <w:pPr>
        <w:tabs>
          <w:tab w:val="left" w:pos="360"/>
        </w:tabs>
        <w:jc w:val="both"/>
        <w:rPr>
          <w:rFonts w:ascii="Arial" w:hAnsi="Arial" w:cs="Arial"/>
          <w:bCs/>
          <w:szCs w:val="12"/>
          <w:lang w:val="es-MX"/>
        </w:rPr>
      </w:pPr>
      <w:r>
        <w:rPr>
          <w:rFonts w:ascii="Arial" w:hAnsi="Arial" w:cs="Arial"/>
          <w:bCs/>
          <w:szCs w:val="12"/>
          <w:lang w:val="es-MX"/>
        </w:rPr>
        <w:t>L</w:t>
      </w:r>
      <w:r w:rsidRPr="00D80C6F">
        <w:rPr>
          <w:rFonts w:ascii="Arial" w:hAnsi="Arial" w:cs="Arial"/>
          <w:bCs/>
          <w:szCs w:val="12"/>
          <w:lang w:val="es-MX"/>
        </w:rPr>
        <w:t xml:space="preserve">a cartera presenta una provisión que equivale al   53,32% (provisión cartera/capital cartera vencida) $ 491,571,665,14 / $ 921,871,189,97 para el período de oct - dic 2014;  con este porcentaje estamos provisionando la totalidad de la cartera de acuerdo con los parámetros establecidos manual de riesgo crediticio m.r.c. información  coordinador </w:t>
      </w:r>
      <w:r>
        <w:rPr>
          <w:rFonts w:ascii="Arial" w:hAnsi="Arial" w:cs="Arial"/>
          <w:bCs/>
          <w:szCs w:val="12"/>
          <w:lang w:val="es-MX"/>
        </w:rPr>
        <w:t>financiero y administrativo</w:t>
      </w:r>
      <w:r w:rsidRPr="00D80C6F">
        <w:rPr>
          <w:rFonts w:ascii="Arial" w:hAnsi="Arial" w:cs="Arial"/>
          <w:bCs/>
          <w:szCs w:val="12"/>
          <w:lang w:val="es-MX"/>
        </w:rPr>
        <w:t>.</w:t>
      </w:r>
    </w:p>
    <w:p w:rsidR="00D80C6F" w:rsidRPr="00D80C6F" w:rsidRDefault="00D80C6F" w:rsidP="00D80C6F">
      <w:pPr>
        <w:tabs>
          <w:tab w:val="left" w:pos="360"/>
        </w:tabs>
        <w:jc w:val="both"/>
        <w:rPr>
          <w:rFonts w:ascii="Arial" w:hAnsi="Arial" w:cs="Arial"/>
          <w:bCs/>
          <w:szCs w:val="12"/>
          <w:lang w:val="es-MX"/>
        </w:rPr>
      </w:pPr>
    </w:p>
    <w:p w:rsidR="00D80C6F" w:rsidRPr="005209BE" w:rsidRDefault="00D80C6F" w:rsidP="00D80C6F">
      <w:pPr>
        <w:tabs>
          <w:tab w:val="left" w:pos="360"/>
        </w:tabs>
        <w:jc w:val="both"/>
        <w:rPr>
          <w:rFonts w:ascii="Arial" w:hAnsi="Arial" w:cs="Arial"/>
          <w:b/>
          <w:bCs/>
          <w:szCs w:val="12"/>
          <w:lang w:val="es-MX"/>
        </w:rPr>
      </w:pPr>
      <w:r w:rsidRPr="005209BE">
        <w:rPr>
          <w:rFonts w:ascii="Arial" w:hAnsi="Arial" w:cs="Arial"/>
          <w:b/>
          <w:bCs/>
          <w:szCs w:val="12"/>
          <w:lang w:val="es-MX"/>
        </w:rPr>
        <w:t>CARTERA VENCIDA</w:t>
      </w:r>
      <w:r w:rsidRPr="005209BE">
        <w:rPr>
          <w:rFonts w:ascii="Arial" w:hAnsi="Arial" w:cs="Arial"/>
          <w:b/>
          <w:bCs/>
          <w:szCs w:val="12"/>
          <w:lang w:val="es-MX"/>
        </w:rPr>
        <w:tab/>
      </w:r>
    </w:p>
    <w:p w:rsidR="005209BE" w:rsidRPr="005209BE" w:rsidRDefault="005209BE" w:rsidP="00D80C6F">
      <w:pPr>
        <w:tabs>
          <w:tab w:val="left" w:pos="360"/>
        </w:tabs>
        <w:jc w:val="both"/>
        <w:rPr>
          <w:rFonts w:ascii="Arial" w:hAnsi="Arial" w:cs="Arial"/>
          <w:b/>
          <w:bCs/>
          <w:szCs w:val="12"/>
          <w:lang w:val="es-MX"/>
        </w:rPr>
      </w:pPr>
    </w:p>
    <w:p w:rsidR="00D80C6F" w:rsidRPr="00D80C6F" w:rsidRDefault="005209BE" w:rsidP="00D80C6F">
      <w:pPr>
        <w:tabs>
          <w:tab w:val="left" w:pos="360"/>
        </w:tabs>
        <w:jc w:val="both"/>
        <w:rPr>
          <w:rFonts w:ascii="Arial" w:hAnsi="Arial" w:cs="Arial"/>
          <w:bCs/>
          <w:szCs w:val="12"/>
          <w:lang w:val="es-MX"/>
        </w:rPr>
      </w:pPr>
      <w:r>
        <w:rPr>
          <w:rFonts w:ascii="Arial" w:hAnsi="Arial" w:cs="Arial"/>
          <w:bCs/>
          <w:szCs w:val="12"/>
          <w:lang w:val="es-MX"/>
        </w:rPr>
        <w:t>P</w:t>
      </w:r>
      <w:r w:rsidRPr="00D80C6F">
        <w:rPr>
          <w:rFonts w:ascii="Arial" w:hAnsi="Arial" w:cs="Arial"/>
          <w:bCs/>
          <w:szCs w:val="12"/>
          <w:lang w:val="es-MX"/>
        </w:rPr>
        <w:t>ara el período de oct - dic /14   es de  3,7 % (total capital cartera vencida/ total capital cartera). capital  cartera vencida $ 921,871,189,97 /total capital cartera $ 24,854,400,162,51( cta 14 contable ).   más adelante se detalla la distribución de la cartera a noviembre de 2014 (m.</w:t>
      </w:r>
      <w:r>
        <w:rPr>
          <w:rFonts w:ascii="Arial" w:hAnsi="Arial" w:cs="Arial"/>
          <w:bCs/>
          <w:szCs w:val="12"/>
          <w:lang w:val="es-MX"/>
        </w:rPr>
        <w:t xml:space="preserve"> </w:t>
      </w:r>
      <w:r w:rsidRPr="00D80C6F">
        <w:rPr>
          <w:rFonts w:ascii="Arial" w:hAnsi="Arial" w:cs="Arial"/>
          <w:bCs/>
          <w:szCs w:val="12"/>
          <w:lang w:val="es-MX"/>
        </w:rPr>
        <w:t xml:space="preserve">cartera).   </w:t>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p>
    <w:p w:rsidR="00D80C6F" w:rsidRPr="00D80C6F" w:rsidRDefault="00D80C6F" w:rsidP="00D80C6F">
      <w:pPr>
        <w:tabs>
          <w:tab w:val="left" w:pos="360"/>
        </w:tabs>
        <w:jc w:val="both"/>
        <w:rPr>
          <w:rFonts w:ascii="Arial" w:hAnsi="Arial" w:cs="Arial"/>
          <w:bCs/>
          <w:szCs w:val="12"/>
          <w:lang w:val="es-MX"/>
        </w:rPr>
      </w:pP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p>
    <w:p w:rsidR="005209BE" w:rsidRDefault="005209BE" w:rsidP="00D80C6F">
      <w:pPr>
        <w:tabs>
          <w:tab w:val="left" w:pos="360"/>
        </w:tabs>
        <w:jc w:val="both"/>
        <w:rPr>
          <w:rFonts w:ascii="Arial" w:hAnsi="Arial" w:cs="Arial"/>
          <w:bCs/>
          <w:szCs w:val="12"/>
          <w:lang w:val="es-MX"/>
        </w:rPr>
      </w:pPr>
      <w:r>
        <w:rPr>
          <w:rFonts w:ascii="Arial" w:hAnsi="Arial" w:cs="Arial"/>
          <w:bCs/>
          <w:szCs w:val="12"/>
          <w:lang w:val="es-MX"/>
        </w:rPr>
        <w:t>P</w:t>
      </w:r>
      <w:r w:rsidRPr="00D80C6F">
        <w:rPr>
          <w:rFonts w:ascii="Arial" w:hAnsi="Arial" w:cs="Arial"/>
          <w:bCs/>
          <w:szCs w:val="12"/>
          <w:lang w:val="es-MX"/>
        </w:rPr>
        <w:t xml:space="preserve">ara la calificación de la cartera de la entidad se toman  los  parámetros establecidos en el manual de administración de riesgo crediticio y está dada a 271 créditos  y  son reportados  a la central de información financiera CIFIN .  </w:t>
      </w:r>
      <w:r w:rsidR="00D80C6F" w:rsidRPr="00D80C6F">
        <w:rPr>
          <w:rFonts w:ascii="Arial" w:hAnsi="Arial" w:cs="Arial"/>
          <w:bCs/>
          <w:szCs w:val="12"/>
          <w:lang w:val="es-MX"/>
        </w:rPr>
        <w:tab/>
      </w:r>
    </w:p>
    <w:p w:rsidR="00D80C6F" w:rsidRPr="00D80C6F" w:rsidRDefault="00D80C6F" w:rsidP="00D80C6F">
      <w:pPr>
        <w:tabs>
          <w:tab w:val="left" w:pos="360"/>
        </w:tabs>
        <w:jc w:val="both"/>
        <w:rPr>
          <w:rFonts w:ascii="Arial" w:hAnsi="Arial" w:cs="Arial"/>
          <w:bCs/>
          <w:szCs w:val="12"/>
          <w:lang w:val="es-MX"/>
        </w:rPr>
      </w:pP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p>
    <w:p w:rsidR="00D80C6F" w:rsidRPr="00D80C6F" w:rsidRDefault="005209BE" w:rsidP="00D80C6F">
      <w:pPr>
        <w:tabs>
          <w:tab w:val="left" w:pos="360"/>
        </w:tabs>
        <w:jc w:val="both"/>
        <w:rPr>
          <w:rFonts w:ascii="Arial" w:hAnsi="Arial" w:cs="Arial"/>
          <w:bCs/>
          <w:szCs w:val="12"/>
          <w:lang w:val="es-MX"/>
        </w:rPr>
      </w:pPr>
      <w:r>
        <w:rPr>
          <w:rFonts w:ascii="Arial" w:hAnsi="Arial" w:cs="Arial"/>
          <w:bCs/>
          <w:szCs w:val="12"/>
          <w:lang w:val="es-MX"/>
        </w:rPr>
        <w:t>D</w:t>
      </w:r>
      <w:r w:rsidRPr="00D80C6F">
        <w:rPr>
          <w:rFonts w:ascii="Arial" w:hAnsi="Arial" w:cs="Arial"/>
          <w:bCs/>
          <w:szCs w:val="12"/>
          <w:lang w:val="es-MX"/>
        </w:rPr>
        <w:t>e acuerdo con la norma  los criterios de deben ser calificados por niveles de riesgo , así : a: riesgo normal(0-30); b: riesgo aceptable ( 31-90); c: riesgo apreciable ( 91-180); d:riesgo significativo(181-360) y e:riesgo de incobrabilidad (360 en adelante )</w:t>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p>
    <w:p w:rsidR="00D80C6F" w:rsidRPr="00D80C6F" w:rsidRDefault="005209BE" w:rsidP="00D80C6F">
      <w:pPr>
        <w:tabs>
          <w:tab w:val="left" w:pos="360"/>
        </w:tabs>
        <w:jc w:val="both"/>
        <w:rPr>
          <w:rFonts w:ascii="Arial" w:hAnsi="Arial" w:cs="Arial"/>
          <w:bCs/>
          <w:szCs w:val="12"/>
          <w:lang w:val="es-MX"/>
        </w:rPr>
      </w:pP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p>
    <w:p w:rsidR="00D80C6F" w:rsidRPr="00D80C6F" w:rsidRDefault="005209BE" w:rsidP="00D80C6F">
      <w:pPr>
        <w:tabs>
          <w:tab w:val="left" w:pos="360"/>
        </w:tabs>
        <w:jc w:val="both"/>
        <w:rPr>
          <w:rFonts w:ascii="Arial" w:hAnsi="Arial" w:cs="Arial"/>
          <w:bCs/>
          <w:szCs w:val="12"/>
          <w:lang w:val="es-MX"/>
        </w:rPr>
      </w:pP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r w:rsidRPr="00D80C6F">
        <w:rPr>
          <w:rFonts w:ascii="Arial" w:hAnsi="Arial" w:cs="Arial"/>
          <w:bCs/>
          <w:szCs w:val="12"/>
          <w:lang w:val="es-MX"/>
        </w:rPr>
        <w:tab/>
      </w:r>
    </w:p>
    <w:p w:rsidR="00D80C6F" w:rsidRPr="00D80C6F" w:rsidRDefault="005209BE" w:rsidP="00D80C6F">
      <w:pPr>
        <w:tabs>
          <w:tab w:val="left" w:pos="360"/>
        </w:tabs>
        <w:jc w:val="both"/>
        <w:rPr>
          <w:rFonts w:ascii="Arial" w:hAnsi="Arial" w:cs="Arial"/>
          <w:bCs/>
          <w:szCs w:val="12"/>
          <w:lang w:val="es-MX"/>
        </w:rPr>
      </w:pPr>
      <w:r w:rsidRPr="00D80C6F">
        <w:rPr>
          <w:rFonts w:ascii="Arial" w:hAnsi="Arial" w:cs="Arial"/>
          <w:bCs/>
          <w:szCs w:val="12"/>
          <w:lang w:val="es-MX"/>
        </w:rPr>
        <w:lastRenderedPageBreak/>
        <w:t>la calificación de riesgo crediticio de los créditos  que se encuentran con calificación por encima de a son los siguientes en  e: libranzas (6), d: libranzas (2), c: fomento (1) ideacta (1) ferticol reestruc</w:t>
      </w:r>
      <w:r>
        <w:rPr>
          <w:rFonts w:ascii="Arial" w:hAnsi="Arial" w:cs="Arial"/>
          <w:bCs/>
          <w:szCs w:val="12"/>
          <w:lang w:val="es-MX"/>
        </w:rPr>
        <w:t>turados</w:t>
      </w:r>
      <w:r w:rsidRPr="00D80C6F">
        <w:rPr>
          <w:rFonts w:ascii="Arial" w:hAnsi="Arial" w:cs="Arial"/>
          <w:bCs/>
          <w:szCs w:val="12"/>
          <w:lang w:val="es-MX"/>
        </w:rPr>
        <w:t xml:space="preserve"> (1), b: libranzas (3) corto plazo (1) ideacta (1) libranzas (3)   . total de  16 créditos con  calificación por  encima de  a.  de los deudores morosos  varios han manifestado voluntad de pago y  se recomienda a la gerencia presentar ante el consejo directivo una resolución en donde se  apruebe la  rebaja de intereses moratorios .  </w:t>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r w:rsidR="00D80C6F" w:rsidRPr="00D80C6F">
        <w:rPr>
          <w:rFonts w:ascii="Arial" w:hAnsi="Arial" w:cs="Arial"/>
          <w:bCs/>
          <w:szCs w:val="12"/>
          <w:lang w:val="es-MX"/>
        </w:rPr>
        <w:tab/>
      </w:r>
    </w:p>
    <w:p w:rsidR="00D80C6F" w:rsidRDefault="00D80C6F" w:rsidP="00D80C6F">
      <w:pPr>
        <w:tabs>
          <w:tab w:val="left" w:pos="360"/>
        </w:tabs>
        <w:jc w:val="center"/>
        <w:rPr>
          <w:rFonts w:ascii="Arial" w:hAnsi="Arial" w:cs="Arial"/>
          <w:b/>
          <w:bCs/>
          <w:szCs w:val="12"/>
          <w:lang w:val="es-MX"/>
        </w:rPr>
      </w:pPr>
      <w:r w:rsidRPr="00D80C6F">
        <w:rPr>
          <w:rFonts w:ascii="Arial" w:hAnsi="Arial" w:cs="Arial"/>
          <w:b/>
          <w:bCs/>
          <w:szCs w:val="12"/>
          <w:lang w:val="es-MX"/>
        </w:rPr>
        <w:tab/>
      </w:r>
      <w:r w:rsidRPr="00D80C6F">
        <w:rPr>
          <w:rFonts w:ascii="Arial" w:hAnsi="Arial" w:cs="Arial"/>
          <w:b/>
          <w:bCs/>
          <w:szCs w:val="12"/>
          <w:lang w:val="es-MX"/>
        </w:rPr>
        <w:tab/>
      </w:r>
      <w:r w:rsidRPr="00D80C6F">
        <w:rPr>
          <w:rFonts w:ascii="Arial" w:hAnsi="Arial" w:cs="Arial"/>
          <w:b/>
          <w:bCs/>
          <w:szCs w:val="12"/>
          <w:lang w:val="es-MX"/>
        </w:rPr>
        <w:tab/>
      </w:r>
      <w:r w:rsidRPr="00D80C6F">
        <w:rPr>
          <w:rFonts w:ascii="Arial" w:hAnsi="Arial" w:cs="Arial"/>
          <w:b/>
          <w:bCs/>
          <w:szCs w:val="12"/>
          <w:lang w:val="es-MX"/>
        </w:rPr>
        <w:tab/>
      </w:r>
      <w:r w:rsidRPr="00D80C6F">
        <w:rPr>
          <w:rFonts w:ascii="Arial" w:hAnsi="Arial" w:cs="Arial"/>
          <w:b/>
          <w:bCs/>
          <w:szCs w:val="12"/>
          <w:lang w:val="es-MX"/>
        </w:rPr>
        <w:tab/>
      </w:r>
      <w:r w:rsidRPr="00D80C6F">
        <w:rPr>
          <w:rFonts w:ascii="Arial" w:hAnsi="Arial" w:cs="Arial"/>
          <w:b/>
          <w:bCs/>
          <w:szCs w:val="12"/>
          <w:lang w:val="es-MX"/>
        </w:rPr>
        <w:tab/>
      </w:r>
      <w:r w:rsidRPr="00D80C6F">
        <w:rPr>
          <w:rFonts w:ascii="Arial" w:hAnsi="Arial" w:cs="Arial"/>
          <w:b/>
          <w:bCs/>
          <w:szCs w:val="12"/>
          <w:lang w:val="es-MX"/>
        </w:rPr>
        <w:tab/>
      </w:r>
      <w:r w:rsidRPr="00D80C6F">
        <w:rPr>
          <w:rFonts w:ascii="Arial" w:hAnsi="Arial" w:cs="Arial"/>
          <w:b/>
          <w:bCs/>
          <w:szCs w:val="12"/>
          <w:lang w:val="es-MX"/>
        </w:rPr>
        <w:tab/>
      </w:r>
    </w:p>
    <w:p w:rsidR="00D80C6F" w:rsidRDefault="00D80C6F" w:rsidP="00D80C6F">
      <w:pPr>
        <w:tabs>
          <w:tab w:val="left" w:pos="360"/>
        </w:tabs>
        <w:jc w:val="both"/>
        <w:rPr>
          <w:rFonts w:ascii="Arial" w:hAnsi="Arial" w:cs="Arial"/>
          <w:sz w:val="16"/>
          <w:szCs w:val="14"/>
        </w:rPr>
      </w:pPr>
      <w:r w:rsidRPr="00D80C6F">
        <w:rPr>
          <w:noProof/>
        </w:rPr>
        <w:drawing>
          <wp:inline distT="0" distB="0" distL="0" distR="0">
            <wp:extent cx="5976234" cy="1351722"/>
            <wp:effectExtent l="19050" t="0" r="5466"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7164" cy="1356456"/>
                    </a:xfrm>
                    <a:prstGeom prst="rect">
                      <a:avLst/>
                    </a:prstGeom>
                    <a:noFill/>
                    <a:ln>
                      <a:noFill/>
                    </a:ln>
                  </pic:spPr>
                </pic:pic>
              </a:graphicData>
            </a:graphic>
          </wp:inline>
        </w:drawing>
      </w:r>
    </w:p>
    <w:p w:rsidR="00D80C6F" w:rsidRDefault="00D80C6F" w:rsidP="00D80C6F">
      <w:pPr>
        <w:tabs>
          <w:tab w:val="left" w:pos="360"/>
        </w:tabs>
        <w:jc w:val="both"/>
        <w:rPr>
          <w:rFonts w:ascii="Arial" w:hAnsi="Arial" w:cs="Arial"/>
          <w:sz w:val="16"/>
          <w:szCs w:val="14"/>
        </w:rPr>
      </w:pPr>
    </w:p>
    <w:p w:rsidR="00DC4E48" w:rsidRDefault="00DC4E48" w:rsidP="00D80C6F">
      <w:pPr>
        <w:jc w:val="both"/>
        <w:rPr>
          <w:rFonts w:ascii="Arial" w:hAnsi="Arial" w:cs="Arial"/>
          <w:sz w:val="22"/>
          <w:szCs w:val="22"/>
        </w:rPr>
      </w:pPr>
    </w:p>
    <w:p w:rsidR="00DC4E48" w:rsidRDefault="00DC4E48" w:rsidP="00DC4E48">
      <w:pPr>
        <w:jc w:val="both"/>
        <w:rPr>
          <w:rFonts w:ascii="Arial" w:hAnsi="Arial" w:cs="Arial"/>
          <w:sz w:val="22"/>
          <w:szCs w:val="22"/>
        </w:rPr>
      </w:pPr>
      <w:r w:rsidRPr="00D80C6F">
        <w:rPr>
          <w:rFonts w:ascii="Arial" w:hAnsi="Arial" w:cs="Arial"/>
          <w:sz w:val="22"/>
          <w:szCs w:val="22"/>
        </w:rPr>
        <w:t xml:space="preserve">La distribución del recaudo del TRIMESTRE se detalla a continuación : </w:t>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p>
    <w:p w:rsidR="00DC4E48" w:rsidRDefault="00DC4E48" w:rsidP="00DC4E48">
      <w:pPr>
        <w:jc w:val="both"/>
        <w:rPr>
          <w:rFonts w:ascii="Arial" w:hAnsi="Arial" w:cs="Arial"/>
          <w:b/>
          <w:sz w:val="22"/>
          <w:szCs w:val="22"/>
        </w:rPr>
      </w:pPr>
      <w:r w:rsidRPr="00D80C6F">
        <w:rPr>
          <w:noProof/>
        </w:rPr>
        <w:drawing>
          <wp:inline distT="0" distB="0" distL="0" distR="0">
            <wp:extent cx="5658182" cy="1168841"/>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0470" cy="1171379"/>
                    </a:xfrm>
                    <a:prstGeom prst="rect">
                      <a:avLst/>
                    </a:prstGeom>
                    <a:noFill/>
                    <a:ln>
                      <a:noFill/>
                    </a:ln>
                  </pic:spPr>
                </pic:pic>
              </a:graphicData>
            </a:graphic>
          </wp:inline>
        </w:drawing>
      </w:r>
    </w:p>
    <w:p w:rsidR="00DC4E48" w:rsidRDefault="00DC4E48" w:rsidP="00D80C6F">
      <w:pPr>
        <w:jc w:val="both"/>
        <w:rPr>
          <w:rFonts w:ascii="Arial" w:hAnsi="Arial" w:cs="Arial"/>
          <w:sz w:val="22"/>
          <w:szCs w:val="22"/>
        </w:rPr>
      </w:pPr>
    </w:p>
    <w:p w:rsidR="00DC4E48" w:rsidRDefault="00DC4E48" w:rsidP="00D80C6F">
      <w:pPr>
        <w:jc w:val="both"/>
        <w:rPr>
          <w:rFonts w:ascii="Arial" w:hAnsi="Arial" w:cs="Arial"/>
          <w:sz w:val="22"/>
          <w:szCs w:val="22"/>
        </w:rPr>
      </w:pPr>
    </w:p>
    <w:p w:rsidR="005209BE" w:rsidRDefault="005209BE" w:rsidP="00D80C6F">
      <w:pPr>
        <w:jc w:val="both"/>
        <w:rPr>
          <w:rFonts w:ascii="Arial" w:hAnsi="Arial" w:cs="Arial"/>
          <w:sz w:val="22"/>
          <w:szCs w:val="22"/>
        </w:rPr>
      </w:pPr>
      <w:r w:rsidRPr="00D80C6F">
        <w:rPr>
          <w:rFonts w:ascii="Arial" w:hAnsi="Arial" w:cs="Arial"/>
          <w:sz w:val="22"/>
          <w:szCs w:val="22"/>
        </w:rPr>
        <w:t>gestión</w:t>
      </w:r>
      <w:r>
        <w:rPr>
          <w:rFonts w:ascii="Arial" w:hAnsi="Arial" w:cs="Arial"/>
          <w:sz w:val="22"/>
          <w:szCs w:val="22"/>
        </w:rPr>
        <w:t xml:space="preserve"> en</w:t>
      </w:r>
      <w:r w:rsidRPr="00D80C6F">
        <w:rPr>
          <w:rFonts w:ascii="Arial" w:hAnsi="Arial" w:cs="Arial"/>
          <w:sz w:val="22"/>
          <w:szCs w:val="22"/>
        </w:rPr>
        <w:t xml:space="preserve"> el trimestre oct-dic se desembolsaron 51 créditos asi: corto plazo entes territoriales (4),reest corto plazo (1),  fomento (4), libranzas (37), hipotecario (1), tesoreria (2) , corto plazo ideactas (0),mypime (1), educativo (1) .  total desembolsado  $7.335.794.447.80</w:t>
      </w:r>
      <w:r w:rsidRPr="00D80C6F">
        <w:rPr>
          <w:rFonts w:ascii="Arial" w:hAnsi="Arial" w:cs="Arial"/>
          <w:sz w:val="22"/>
          <w:szCs w:val="22"/>
        </w:rPr>
        <w:tab/>
      </w:r>
      <w:r w:rsidRPr="00D80C6F">
        <w:rPr>
          <w:rFonts w:ascii="Arial" w:hAnsi="Arial" w:cs="Arial"/>
          <w:sz w:val="22"/>
          <w:szCs w:val="22"/>
        </w:rPr>
        <w:tab/>
      </w:r>
    </w:p>
    <w:p w:rsidR="00D80C6F" w:rsidRPr="00D80C6F" w:rsidRDefault="005209BE" w:rsidP="00D80C6F">
      <w:pPr>
        <w:jc w:val="both"/>
        <w:rPr>
          <w:rFonts w:ascii="Arial" w:hAnsi="Arial" w:cs="Arial"/>
          <w:sz w:val="22"/>
          <w:szCs w:val="22"/>
        </w:rPr>
      </w:pP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p>
    <w:p w:rsidR="00D80C6F" w:rsidRPr="00D80C6F" w:rsidRDefault="005209BE" w:rsidP="00D80C6F">
      <w:pPr>
        <w:jc w:val="both"/>
        <w:rPr>
          <w:rFonts w:ascii="Arial" w:hAnsi="Arial" w:cs="Arial"/>
          <w:sz w:val="22"/>
          <w:szCs w:val="22"/>
        </w:rPr>
      </w:pPr>
      <w:r w:rsidRPr="00D80C6F">
        <w:rPr>
          <w:rFonts w:ascii="Arial" w:hAnsi="Arial" w:cs="Arial"/>
          <w:sz w:val="22"/>
          <w:szCs w:val="22"/>
        </w:rPr>
        <w:t>EFICIENCIA MOVIMIENTO ABONOS CARTERA</w:t>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p>
    <w:p w:rsidR="00D80C6F" w:rsidRPr="00D80C6F" w:rsidRDefault="005209BE" w:rsidP="00D80C6F">
      <w:pPr>
        <w:jc w:val="both"/>
        <w:rPr>
          <w:rFonts w:ascii="Arial" w:hAnsi="Arial" w:cs="Arial"/>
          <w:sz w:val="22"/>
          <w:szCs w:val="22"/>
        </w:rPr>
      </w:pPr>
      <w:r w:rsidRPr="00D80C6F">
        <w:rPr>
          <w:rFonts w:ascii="Arial" w:hAnsi="Arial" w:cs="Arial"/>
          <w:sz w:val="22"/>
          <w:szCs w:val="22"/>
        </w:rPr>
        <w:t>en el trimestre se realizaron según tesorería 407 trans</w:t>
      </w:r>
      <w:r>
        <w:rPr>
          <w:rFonts w:ascii="Arial" w:hAnsi="Arial" w:cs="Arial"/>
          <w:sz w:val="22"/>
          <w:szCs w:val="22"/>
        </w:rPr>
        <w:t xml:space="preserve">acciones por abonos de cartera </w:t>
      </w:r>
      <w:r w:rsidRPr="00D80C6F">
        <w:rPr>
          <w:rFonts w:ascii="Arial" w:hAnsi="Arial" w:cs="Arial"/>
          <w:sz w:val="22"/>
          <w:szCs w:val="22"/>
        </w:rPr>
        <w:t xml:space="preserve">dato suministrado por la tesorería . </w:t>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t xml:space="preserve">   </w:t>
      </w:r>
    </w:p>
    <w:p w:rsidR="00D80C6F" w:rsidRPr="00D80C6F" w:rsidRDefault="005209BE" w:rsidP="00D80C6F">
      <w:pPr>
        <w:jc w:val="both"/>
        <w:rPr>
          <w:rFonts w:ascii="Arial" w:hAnsi="Arial" w:cs="Arial"/>
          <w:sz w:val="22"/>
          <w:szCs w:val="22"/>
        </w:rPr>
      </w:pP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p>
    <w:p w:rsidR="00DC4E48" w:rsidRDefault="005209BE" w:rsidP="00D80C6F">
      <w:pPr>
        <w:jc w:val="both"/>
        <w:rPr>
          <w:rFonts w:ascii="Arial" w:hAnsi="Arial" w:cs="Arial"/>
          <w:sz w:val="22"/>
          <w:szCs w:val="22"/>
        </w:rPr>
      </w:pPr>
      <w:r w:rsidRPr="00D80C6F">
        <w:rPr>
          <w:rFonts w:ascii="Arial" w:hAnsi="Arial" w:cs="Arial"/>
          <w:sz w:val="22"/>
          <w:szCs w:val="22"/>
        </w:rPr>
        <w:t>Créditos cancelados en el trimestre: en el periodo de  nov - dic /2014  se  cancelaron en total 28 créditos .  total   recaudo cancelados: $4,527,853,042.</w:t>
      </w:r>
      <w:r w:rsidRPr="00D80C6F">
        <w:rPr>
          <w:rFonts w:ascii="Arial" w:hAnsi="Arial" w:cs="Arial"/>
          <w:sz w:val="22"/>
          <w:szCs w:val="22"/>
        </w:rPr>
        <w:tab/>
      </w:r>
    </w:p>
    <w:p w:rsidR="00D80C6F" w:rsidRPr="00D80C6F" w:rsidRDefault="005209BE" w:rsidP="00D80C6F">
      <w:pPr>
        <w:jc w:val="both"/>
        <w:rPr>
          <w:rFonts w:ascii="Arial" w:hAnsi="Arial" w:cs="Arial"/>
          <w:sz w:val="22"/>
          <w:szCs w:val="22"/>
        </w:rPr>
      </w:pP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p>
    <w:p w:rsidR="00DC4E48" w:rsidRDefault="005209BE" w:rsidP="00D80C6F">
      <w:pPr>
        <w:jc w:val="both"/>
        <w:rPr>
          <w:rFonts w:ascii="Arial" w:hAnsi="Arial" w:cs="Arial"/>
          <w:sz w:val="22"/>
          <w:szCs w:val="22"/>
        </w:rPr>
      </w:pPr>
      <w:r>
        <w:rPr>
          <w:rFonts w:ascii="Arial" w:hAnsi="Arial" w:cs="Arial"/>
          <w:sz w:val="22"/>
          <w:szCs w:val="22"/>
        </w:rPr>
        <w:t>C</w:t>
      </w:r>
      <w:r w:rsidRPr="00D80C6F">
        <w:rPr>
          <w:rFonts w:ascii="Arial" w:hAnsi="Arial" w:cs="Arial"/>
          <w:sz w:val="22"/>
          <w:szCs w:val="22"/>
        </w:rPr>
        <w:t xml:space="preserve">asos destacados: piedecuestana cancelación total $1.900.000.000, ese pto wilches cancelación total capital, intereses y mora del crédito $ 170,000,000, ferticol reestructuración 4 creditos $ 1,354,691,193,municipio de guaca 177.000.000, uts cancelación total 159,066,153, aguas de barrancabermeja $ 158,857,524 </w:t>
      </w:r>
      <w:r w:rsidRPr="00D80C6F">
        <w:rPr>
          <w:rFonts w:ascii="Arial" w:hAnsi="Arial" w:cs="Arial"/>
          <w:sz w:val="22"/>
          <w:szCs w:val="22"/>
        </w:rPr>
        <w:tab/>
      </w:r>
    </w:p>
    <w:p w:rsidR="00DC4E48" w:rsidRDefault="00DC4E48" w:rsidP="00D80C6F">
      <w:pPr>
        <w:jc w:val="both"/>
        <w:rPr>
          <w:rFonts w:ascii="Arial" w:hAnsi="Arial" w:cs="Arial"/>
          <w:sz w:val="22"/>
          <w:szCs w:val="22"/>
        </w:rPr>
      </w:pPr>
    </w:p>
    <w:p w:rsidR="00D80C6F" w:rsidRPr="00D80C6F" w:rsidRDefault="005209BE" w:rsidP="00D80C6F">
      <w:pPr>
        <w:jc w:val="both"/>
        <w:rPr>
          <w:rFonts w:ascii="Arial" w:hAnsi="Arial" w:cs="Arial"/>
          <w:sz w:val="22"/>
          <w:szCs w:val="22"/>
        </w:rPr>
      </w:pPr>
      <w:r w:rsidRPr="00D80C6F">
        <w:rPr>
          <w:rFonts w:ascii="Arial" w:hAnsi="Arial" w:cs="Arial"/>
          <w:sz w:val="22"/>
          <w:szCs w:val="22"/>
        </w:rPr>
        <w:t xml:space="preserve">RECAUDO CREDITOS IDESAN </w:t>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p>
    <w:p w:rsidR="00D80C6F" w:rsidRDefault="00D80C6F" w:rsidP="00D80C6F">
      <w:pPr>
        <w:jc w:val="both"/>
        <w:rPr>
          <w:rFonts w:ascii="Arial" w:hAnsi="Arial" w:cs="Arial"/>
          <w:sz w:val="22"/>
          <w:szCs w:val="22"/>
        </w:rPr>
      </w:pPr>
    </w:p>
    <w:p w:rsidR="00D80C6F" w:rsidRPr="00D80C6F" w:rsidRDefault="005209BE" w:rsidP="00D80C6F">
      <w:pPr>
        <w:jc w:val="both"/>
        <w:rPr>
          <w:rFonts w:ascii="Arial" w:hAnsi="Arial" w:cs="Arial"/>
          <w:sz w:val="22"/>
          <w:szCs w:val="22"/>
        </w:rPr>
      </w:pPr>
      <w:r w:rsidRPr="00D80C6F">
        <w:rPr>
          <w:rFonts w:ascii="Arial" w:hAnsi="Arial" w:cs="Arial"/>
          <w:sz w:val="22"/>
          <w:szCs w:val="22"/>
        </w:rPr>
        <w:t>la gestión realizada para recaudo de los créditos de la entidad, en el período de dic - 2014  correspondió a : 271 créditos por valor de $3,449,303,981,26  (corte a  dic 31/14)</w:t>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00D80C6F" w:rsidRPr="00D80C6F">
        <w:rPr>
          <w:rFonts w:ascii="Arial" w:hAnsi="Arial" w:cs="Arial"/>
          <w:sz w:val="22"/>
          <w:szCs w:val="22"/>
        </w:rPr>
        <w:tab/>
      </w:r>
      <w:r w:rsidR="00D80C6F" w:rsidRPr="00D80C6F">
        <w:rPr>
          <w:rFonts w:ascii="Arial" w:hAnsi="Arial" w:cs="Arial"/>
          <w:sz w:val="22"/>
          <w:szCs w:val="22"/>
        </w:rPr>
        <w:tab/>
      </w:r>
    </w:p>
    <w:p w:rsidR="00D80C6F" w:rsidRDefault="00D80C6F" w:rsidP="00D80C6F">
      <w:pPr>
        <w:jc w:val="both"/>
        <w:rPr>
          <w:rFonts w:ascii="Arial" w:hAnsi="Arial" w:cs="Arial"/>
          <w:sz w:val="22"/>
          <w:szCs w:val="22"/>
        </w:rPr>
      </w:pPr>
      <w:r w:rsidRPr="00D80C6F">
        <w:rPr>
          <w:rFonts w:ascii="Arial" w:hAnsi="Arial" w:cs="Arial"/>
          <w:sz w:val="22"/>
          <w:szCs w:val="22"/>
        </w:rPr>
        <w:t xml:space="preserve"> </w:t>
      </w:r>
      <w:r w:rsidRPr="00D80C6F">
        <w:rPr>
          <w:rFonts w:ascii="Arial" w:hAnsi="Arial" w:cs="Arial"/>
          <w:sz w:val="22"/>
          <w:szCs w:val="22"/>
        </w:rPr>
        <w:tab/>
      </w:r>
      <w:r w:rsidRPr="00D80C6F">
        <w:rPr>
          <w:rFonts w:ascii="Arial" w:hAnsi="Arial" w:cs="Arial"/>
          <w:sz w:val="22"/>
          <w:szCs w:val="22"/>
        </w:rPr>
        <w:tab/>
      </w:r>
    </w:p>
    <w:p w:rsidR="00D80C6F" w:rsidRPr="00D80C6F" w:rsidRDefault="00D80C6F" w:rsidP="00D80C6F">
      <w:pPr>
        <w:jc w:val="both"/>
        <w:rPr>
          <w:rFonts w:ascii="Arial" w:hAnsi="Arial" w:cs="Arial"/>
          <w:sz w:val="22"/>
          <w:szCs w:val="22"/>
        </w:rPr>
      </w:pP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r w:rsidRPr="00D80C6F">
        <w:rPr>
          <w:rFonts w:ascii="Arial" w:hAnsi="Arial" w:cs="Arial"/>
          <w:sz w:val="22"/>
          <w:szCs w:val="22"/>
        </w:rPr>
        <w:tab/>
      </w:r>
    </w:p>
    <w:p w:rsidR="00D80C6F" w:rsidRDefault="00D80C6F" w:rsidP="002B7266">
      <w:pPr>
        <w:jc w:val="both"/>
        <w:rPr>
          <w:rFonts w:ascii="Arial" w:hAnsi="Arial" w:cs="Arial"/>
          <w:b/>
          <w:sz w:val="22"/>
          <w:szCs w:val="22"/>
        </w:rPr>
      </w:pPr>
    </w:p>
    <w:p w:rsidR="00DC4E48" w:rsidRPr="00D96FD5" w:rsidRDefault="00DC4E48" w:rsidP="00DC4E48">
      <w:pPr>
        <w:pStyle w:val="Ttulo5"/>
        <w:rPr>
          <w:rFonts w:ascii="Arial" w:hAnsi="Arial" w:cs="Arial"/>
          <w:b/>
          <w:color w:val="008000"/>
          <w:sz w:val="22"/>
          <w:szCs w:val="22"/>
        </w:rPr>
      </w:pPr>
      <w:r w:rsidRPr="00D96FD5">
        <w:rPr>
          <w:rFonts w:ascii="Arial" w:hAnsi="Arial" w:cs="Arial"/>
          <w:b/>
          <w:color w:val="008000"/>
          <w:sz w:val="22"/>
          <w:szCs w:val="22"/>
        </w:rPr>
        <w:lastRenderedPageBreak/>
        <w:t>4.3  PROCESO ADMINISTRACIÓN DE CONVENIOS</w:t>
      </w:r>
    </w:p>
    <w:p w:rsidR="00DC4E48" w:rsidRPr="00D96FD5" w:rsidRDefault="00DC4E48" w:rsidP="00DC4E48">
      <w:pPr>
        <w:tabs>
          <w:tab w:val="left" w:pos="360"/>
        </w:tabs>
        <w:jc w:val="both"/>
        <w:rPr>
          <w:rFonts w:ascii="Arial" w:hAnsi="Arial" w:cs="Arial"/>
          <w:color w:val="008000"/>
          <w:sz w:val="22"/>
          <w:szCs w:val="22"/>
        </w:rPr>
      </w:pPr>
    </w:p>
    <w:p w:rsidR="00DC4E48" w:rsidRPr="00D96FD5" w:rsidRDefault="00DC4E48" w:rsidP="00DC4E48">
      <w:pPr>
        <w:tabs>
          <w:tab w:val="left" w:pos="360"/>
        </w:tabs>
        <w:jc w:val="both"/>
        <w:rPr>
          <w:rFonts w:ascii="Arial" w:hAnsi="Arial" w:cs="Arial"/>
          <w:sz w:val="22"/>
          <w:szCs w:val="22"/>
        </w:rPr>
      </w:pPr>
      <w:r w:rsidRPr="00D96FD5">
        <w:rPr>
          <w:rFonts w:ascii="Arial" w:hAnsi="Arial" w:cs="Arial"/>
          <w:sz w:val="22"/>
          <w:szCs w:val="22"/>
        </w:rPr>
        <w:t>La Dra. Azucena Pabón, entrego informe de Auto evaluación de la Gestión y  expuso los indicadores de Gestión del Proceso así:</w:t>
      </w:r>
    </w:p>
    <w:p w:rsidR="00DC4E48" w:rsidRPr="00D96FD5" w:rsidRDefault="00DC4E48" w:rsidP="00DC4E48">
      <w:pPr>
        <w:tabs>
          <w:tab w:val="left" w:pos="360"/>
        </w:tabs>
        <w:jc w:val="both"/>
        <w:rPr>
          <w:rFonts w:ascii="Arial" w:hAnsi="Arial" w:cs="Arial"/>
          <w:sz w:val="22"/>
          <w:szCs w:val="22"/>
        </w:rPr>
      </w:pPr>
    </w:p>
    <w:p w:rsidR="00DC4E48" w:rsidRPr="00D96FD5" w:rsidRDefault="00DC4E48" w:rsidP="00DC4E48">
      <w:pPr>
        <w:tabs>
          <w:tab w:val="left" w:pos="360"/>
        </w:tabs>
        <w:jc w:val="both"/>
        <w:rPr>
          <w:rFonts w:ascii="Arial" w:hAnsi="Arial" w:cs="Arial"/>
          <w:sz w:val="22"/>
          <w:szCs w:val="22"/>
        </w:rPr>
      </w:pPr>
      <w:r w:rsidRPr="00D96FD5">
        <w:rPr>
          <w:rFonts w:ascii="Arial" w:hAnsi="Arial" w:cs="Arial"/>
          <w:b/>
          <w:bCs/>
          <w:sz w:val="22"/>
          <w:szCs w:val="22"/>
        </w:rPr>
        <w:t>PARTICIPACION DE LOS CONVENIOS EN EL TOTAL DE LAS CAPTACIONES</w:t>
      </w:r>
    </w:p>
    <w:p w:rsidR="00DC4E48" w:rsidRPr="00D96FD5" w:rsidRDefault="00DC4E48" w:rsidP="00DC4E48">
      <w:pPr>
        <w:tabs>
          <w:tab w:val="left" w:pos="360"/>
        </w:tabs>
        <w:rPr>
          <w:rFonts w:ascii="Arial" w:hAnsi="Arial" w:cs="Arial"/>
          <w:sz w:val="22"/>
          <w:szCs w:val="22"/>
        </w:rPr>
      </w:pPr>
    </w:p>
    <w:p w:rsidR="00DC4E48" w:rsidRPr="00D96FD5" w:rsidRDefault="005209BE" w:rsidP="00DC4E48">
      <w:pPr>
        <w:tabs>
          <w:tab w:val="left" w:pos="360"/>
        </w:tabs>
        <w:jc w:val="center"/>
        <w:rPr>
          <w:rFonts w:ascii="Arial" w:hAnsi="Arial" w:cs="Arial"/>
          <w:sz w:val="22"/>
          <w:szCs w:val="22"/>
        </w:rPr>
      </w:pPr>
      <w:r w:rsidRPr="00D96FD5">
        <w:rPr>
          <w:rFonts w:ascii="Arial" w:hAnsi="Arial" w:cs="Arial"/>
          <w:noProof/>
          <w:sz w:val="22"/>
          <w:szCs w:val="22"/>
        </w:rPr>
        <w:drawing>
          <wp:inline distT="0" distB="0" distL="0" distR="0">
            <wp:extent cx="5401531" cy="2488758"/>
            <wp:effectExtent l="19050" t="0" r="27719" b="25842"/>
            <wp:docPr id="1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4E48" w:rsidRPr="00D96FD5" w:rsidRDefault="00DC4E48" w:rsidP="00DC4E48">
      <w:pPr>
        <w:tabs>
          <w:tab w:val="left" w:pos="360"/>
        </w:tabs>
        <w:jc w:val="both"/>
        <w:rPr>
          <w:rFonts w:ascii="Arial" w:hAnsi="Arial" w:cs="Arial"/>
          <w:b/>
          <w:bCs/>
          <w:sz w:val="22"/>
          <w:szCs w:val="22"/>
        </w:rPr>
      </w:pPr>
    </w:p>
    <w:p w:rsidR="00DC4E48" w:rsidRPr="00D96FD5" w:rsidRDefault="00DC4E48" w:rsidP="00DC4E48">
      <w:pPr>
        <w:tabs>
          <w:tab w:val="left" w:pos="360"/>
        </w:tabs>
        <w:jc w:val="both"/>
        <w:rPr>
          <w:rFonts w:ascii="Arial" w:hAnsi="Arial" w:cs="Arial"/>
          <w:b/>
          <w:bCs/>
          <w:sz w:val="22"/>
          <w:szCs w:val="22"/>
          <w:lang w:val="es-ES_tradnl"/>
        </w:rPr>
      </w:pPr>
      <w:r w:rsidRPr="00D96FD5">
        <w:rPr>
          <w:rFonts w:ascii="Arial" w:hAnsi="Arial" w:cs="Arial"/>
          <w:b/>
          <w:bCs/>
          <w:sz w:val="22"/>
          <w:szCs w:val="22"/>
        </w:rPr>
        <w:t xml:space="preserve">PARTICIPACION DE LOS CONVENIOS EN EL TOTAL DE LAS CAPTACIONES </w:t>
      </w:r>
      <w:r w:rsidRPr="00D96FD5">
        <w:rPr>
          <w:rFonts w:ascii="Arial" w:hAnsi="Arial" w:cs="Arial"/>
          <w:bCs/>
          <w:sz w:val="22"/>
          <w:szCs w:val="22"/>
          <w:lang w:val="es-ES_tradnl"/>
        </w:rPr>
        <w:t>Para este trimestre  OCT-DIC 2014, los convenios representan un</w:t>
      </w:r>
      <w:r w:rsidRPr="00D96FD5">
        <w:rPr>
          <w:rFonts w:ascii="Arial" w:hAnsi="Arial" w:cs="Arial"/>
          <w:b/>
          <w:bCs/>
          <w:sz w:val="22"/>
          <w:szCs w:val="22"/>
          <w:lang w:val="es-ES_tradnl"/>
        </w:rPr>
        <w:t xml:space="preserve">   35.25% </w:t>
      </w:r>
      <w:r w:rsidRPr="00D96FD5">
        <w:rPr>
          <w:rFonts w:ascii="Arial" w:hAnsi="Arial" w:cs="Arial"/>
          <w:bCs/>
          <w:sz w:val="22"/>
          <w:szCs w:val="22"/>
          <w:lang w:val="es-ES_tradnl"/>
        </w:rPr>
        <w:t>de</w:t>
      </w:r>
      <w:r w:rsidRPr="00D96FD5">
        <w:rPr>
          <w:rFonts w:ascii="Arial" w:hAnsi="Arial" w:cs="Arial"/>
          <w:b/>
          <w:bCs/>
          <w:sz w:val="22"/>
          <w:szCs w:val="22"/>
          <w:lang w:val="es-ES_tradnl"/>
        </w:rPr>
        <w:t xml:space="preserve">l </w:t>
      </w:r>
      <w:r w:rsidRPr="00D96FD5">
        <w:rPr>
          <w:rFonts w:ascii="Arial" w:hAnsi="Arial" w:cs="Arial"/>
          <w:bCs/>
          <w:sz w:val="22"/>
          <w:szCs w:val="22"/>
          <w:lang w:val="es-ES_tradnl"/>
        </w:rPr>
        <w:t xml:space="preserve">total  de  las captaciones de la entidad   </w:t>
      </w:r>
      <w:r w:rsidRPr="00D96FD5">
        <w:rPr>
          <w:rFonts w:ascii="Arial" w:hAnsi="Arial" w:cs="Arial"/>
          <w:b/>
          <w:bCs/>
          <w:sz w:val="22"/>
          <w:szCs w:val="22"/>
          <w:lang w:val="es-ES_tradnl"/>
        </w:rPr>
        <w:t>(</w:t>
      </w:r>
      <w:r w:rsidRPr="00D96FD5">
        <w:rPr>
          <w:rFonts w:ascii="Arial" w:hAnsi="Arial" w:cs="Arial"/>
          <w:b/>
          <w:bCs/>
          <w:sz w:val="22"/>
          <w:szCs w:val="22"/>
          <w:lang w:val="es-CO"/>
        </w:rPr>
        <w:t xml:space="preserve">$ 46.311.577.662,77  </w:t>
      </w:r>
      <w:r w:rsidRPr="00D96FD5">
        <w:rPr>
          <w:rFonts w:ascii="Arial" w:hAnsi="Arial" w:cs="Arial"/>
          <w:b/>
          <w:bCs/>
          <w:sz w:val="22"/>
          <w:szCs w:val="22"/>
          <w:lang w:val="es-ES_tradnl"/>
        </w:rPr>
        <w:t>).</w:t>
      </w:r>
      <w:r w:rsidRPr="00D96FD5">
        <w:rPr>
          <w:rFonts w:ascii="Arial" w:hAnsi="Arial" w:cs="Arial"/>
          <w:bCs/>
          <w:sz w:val="22"/>
          <w:szCs w:val="22"/>
          <w:lang w:val="es-ES_tradnl"/>
        </w:rPr>
        <w:t xml:space="preserve"> El valor de los convenios  </w:t>
      </w:r>
      <w:r w:rsidR="005209BE" w:rsidRPr="00D96FD5">
        <w:rPr>
          <w:rFonts w:ascii="Arial" w:hAnsi="Arial" w:cs="Arial"/>
          <w:bCs/>
          <w:sz w:val="22"/>
          <w:szCs w:val="22"/>
          <w:lang w:val="es-ES_tradnl"/>
        </w:rPr>
        <w:t>suma</w:t>
      </w:r>
      <w:r w:rsidRPr="00D96FD5">
        <w:rPr>
          <w:rFonts w:ascii="Arial" w:hAnsi="Arial" w:cs="Arial"/>
          <w:bCs/>
          <w:sz w:val="22"/>
          <w:szCs w:val="22"/>
          <w:lang w:val="es-ES_tradnl"/>
        </w:rPr>
        <w:t xml:space="preserve"> </w:t>
      </w:r>
      <w:r w:rsidRPr="00D96FD5">
        <w:rPr>
          <w:rFonts w:ascii="Arial" w:hAnsi="Arial" w:cs="Arial"/>
          <w:b/>
          <w:bCs/>
          <w:sz w:val="22"/>
          <w:szCs w:val="22"/>
          <w:lang w:val="es-CO"/>
        </w:rPr>
        <w:t>$16.344.210.024.62.</w:t>
      </w:r>
      <w:r w:rsidRPr="00D96FD5">
        <w:rPr>
          <w:rFonts w:ascii="Arial" w:hAnsi="Arial" w:cs="Arial"/>
          <w:b/>
          <w:bCs/>
          <w:sz w:val="22"/>
          <w:szCs w:val="22"/>
          <w:lang w:val="es-ES_tradnl"/>
        </w:rPr>
        <w:t xml:space="preserve"> </w:t>
      </w:r>
    </w:p>
    <w:p w:rsidR="00D96FD5" w:rsidRPr="00D96FD5" w:rsidRDefault="00D96FD5" w:rsidP="00DC4E48">
      <w:pPr>
        <w:tabs>
          <w:tab w:val="left" w:pos="360"/>
        </w:tabs>
        <w:jc w:val="both"/>
        <w:rPr>
          <w:rFonts w:ascii="Arial" w:hAnsi="Arial" w:cs="Arial"/>
          <w:bCs/>
          <w:sz w:val="22"/>
          <w:szCs w:val="22"/>
          <w:lang w:val="es-ES_tradnl"/>
        </w:rPr>
      </w:pPr>
    </w:p>
    <w:p w:rsidR="00DC4E48" w:rsidRPr="00D96FD5" w:rsidRDefault="00DC4E48" w:rsidP="00DC4E48">
      <w:pPr>
        <w:tabs>
          <w:tab w:val="left" w:pos="360"/>
        </w:tabs>
        <w:jc w:val="both"/>
        <w:rPr>
          <w:rFonts w:ascii="Arial" w:hAnsi="Arial" w:cs="Arial"/>
          <w:bCs/>
          <w:sz w:val="22"/>
          <w:szCs w:val="22"/>
        </w:rPr>
      </w:pPr>
      <w:r w:rsidRPr="00D96FD5">
        <w:rPr>
          <w:rFonts w:ascii="Arial" w:hAnsi="Arial" w:cs="Arial"/>
          <w:bCs/>
          <w:sz w:val="22"/>
          <w:szCs w:val="22"/>
        </w:rPr>
        <w:t>Para este periodo se realizaron acciones conjuntas con cada una de las oficinas gestoras de la gobernación  y  de los  municipios a fin de concretar acciones para materializar los nuevos convenios que se han venido adelantando en  los meses anteriores con el propósito de legalizarlos con destino a la administración de recursos   para el pagos de los  diferentes proyectos que adelantan  las administraciones departamental en  beneficio de las comunidades santandereanas.</w:t>
      </w:r>
    </w:p>
    <w:p w:rsidR="00D96FD5" w:rsidRPr="00D96FD5" w:rsidRDefault="00D96FD5" w:rsidP="00DC4E48">
      <w:pPr>
        <w:tabs>
          <w:tab w:val="left" w:pos="360"/>
        </w:tabs>
        <w:jc w:val="both"/>
        <w:rPr>
          <w:rFonts w:ascii="Arial" w:hAnsi="Arial" w:cs="Arial"/>
          <w:bCs/>
          <w:sz w:val="22"/>
          <w:szCs w:val="22"/>
          <w:rtl/>
        </w:rPr>
      </w:pPr>
    </w:p>
    <w:p w:rsidR="00DC4E48" w:rsidRPr="00D96FD5" w:rsidRDefault="00DC4E48" w:rsidP="00DC4E48">
      <w:pPr>
        <w:tabs>
          <w:tab w:val="left" w:pos="360"/>
        </w:tabs>
        <w:jc w:val="both"/>
        <w:rPr>
          <w:rFonts w:ascii="Arial" w:hAnsi="Arial" w:cs="Arial"/>
          <w:bCs/>
          <w:sz w:val="22"/>
          <w:szCs w:val="22"/>
          <w:lang w:val="es-ES_tradnl"/>
        </w:rPr>
      </w:pPr>
      <w:r w:rsidRPr="00D96FD5">
        <w:rPr>
          <w:rFonts w:ascii="Arial" w:hAnsi="Arial" w:cs="Arial"/>
          <w:bCs/>
          <w:sz w:val="22"/>
          <w:szCs w:val="22"/>
        </w:rPr>
        <w:t xml:space="preserve">* PORCENTAJE PARTICIPACION CONVENIOS EN LAS </w:t>
      </w:r>
      <w:r w:rsidR="00D96FD5" w:rsidRPr="00D96FD5">
        <w:rPr>
          <w:rFonts w:ascii="Arial" w:hAnsi="Arial" w:cs="Arial"/>
          <w:bCs/>
          <w:sz w:val="22"/>
          <w:szCs w:val="22"/>
        </w:rPr>
        <w:t>CAPTACIONES:</w:t>
      </w:r>
      <w:r w:rsidRPr="00D96FD5">
        <w:rPr>
          <w:rFonts w:ascii="Arial" w:hAnsi="Arial" w:cs="Arial"/>
          <w:bCs/>
          <w:sz w:val="22"/>
          <w:szCs w:val="22"/>
        </w:rPr>
        <w:t xml:space="preserve"> Valor convenio  / Valor total captaciones .</w:t>
      </w:r>
    </w:p>
    <w:p w:rsidR="00DC4E48" w:rsidRPr="00D96FD5" w:rsidRDefault="00DC4E48" w:rsidP="00DC4E48">
      <w:pPr>
        <w:tabs>
          <w:tab w:val="left" w:pos="360"/>
        </w:tabs>
        <w:jc w:val="both"/>
        <w:rPr>
          <w:rFonts w:ascii="Arial" w:hAnsi="Arial" w:cs="Arial"/>
          <w:bCs/>
          <w:sz w:val="22"/>
          <w:szCs w:val="22"/>
          <w:lang w:val="es-ES_tradnl"/>
        </w:rPr>
      </w:pPr>
      <w:r w:rsidRPr="00D96FD5">
        <w:rPr>
          <w:rFonts w:ascii="Arial" w:hAnsi="Arial" w:cs="Arial"/>
          <w:bCs/>
          <w:sz w:val="22"/>
          <w:szCs w:val="22"/>
        </w:rPr>
        <w:t>*VALOR CAPTACIONES REPORTE TESORERIA: $</w:t>
      </w:r>
      <w:r w:rsidRPr="00D96FD5">
        <w:rPr>
          <w:rFonts w:ascii="Arial" w:hAnsi="Arial" w:cs="Arial"/>
          <w:bCs/>
          <w:sz w:val="22"/>
          <w:szCs w:val="22"/>
          <w:lang w:val="es-CO"/>
        </w:rPr>
        <w:t xml:space="preserve">46.311.577.662,77 </w:t>
      </w:r>
      <w:r w:rsidRPr="00D96FD5">
        <w:rPr>
          <w:rFonts w:ascii="Arial" w:hAnsi="Arial" w:cs="Arial"/>
          <w:bCs/>
          <w:sz w:val="22"/>
          <w:szCs w:val="22"/>
        </w:rPr>
        <w:t xml:space="preserve">  VALOR CONVENIOS $</w:t>
      </w:r>
      <w:r w:rsidRPr="00D96FD5">
        <w:rPr>
          <w:rFonts w:ascii="Arial" w:hAnsi="Arial" w:cs="Arial"/>
          <w:bCs/>
          <w:sz w:val="22"/>
          <w:szCs w:val="22"/>
          <w:lang w:val="es-CO"/>
        </w:rPr>
        <w:t>16.344.210.024.62.</w:t>
      </w:r>
      <w:r w:rsidRPr="00D96FD5">
        <w:rPr>
          <w:rFonts w:ascii="Arial" w:hAnsi="Arial" w:cs="Arial"/>
          <w:bCs/>
          <w:sz w:val="22"/>
          <w:szCs w:val="22"/>
        </w:rPr>
        <w:t xml:space="preserve">  </w:t>
      </w:r>
    </w:p>
    <w:p w:rsidR="00DC4E48" w:rsidRPr="00D96FD5" w:rsidRDefault="00DC4E48" w:rsidP="00DC4E48">
      <w:pPr>
        <w:tabs>
          <w:tab w:val="left" w:pos="360"/>
        </w:tabs>
        <w:jc w:val="both"/>
        <w:rPr>
          <w:rFonts w:ascii="Arial" w:hAnsi="Arial" w:cs="Arial"/>
          <w:bCs/>
          <w:sz w:val="22"/>
          <w:szCs w:val="22"/>
        </w:rPr>
      </w:pPr>
      <w:r w:rsidRPr="00D96FD5">
        <w:rPr>
          <w:rFonts w:ascii="Arial" w:hAnsi="Arial" w:cs="Arial"/>
          <w:bCs/>
          <w:sz w:val="22"/>
          <w:szCs w:val="22"/>
        </w:rPr>
        <w:t xml:space="preserve">   *VALOR CAPTACIONES REPORTE TESORERIA: </w:t>
      </w:r>
      <w:r w:rsidRPr="00D96FD5">
        <w:rPr>
          <w:rFonts w:ascii="Arial" w:hAnsi="Arial" w:cs="Arial"/>
          <w:bCs/>
          <w:sz w:val="22"/>
          <w:szCs w:val="22"/>
          <w:lang w:val="es-CO"/>
        </w:rPr>
        <w:t>$ 54.894.366.594.17</w:t>
      </w:r>
      <w:r w:rsidRPr="00D96FD5">
        <w:rPr>
          <w:rFonts w:ascii="Arial" w:hAnsi="Arial" w:cs="Arial"/>
          <w:bCs/>
          <w:sz w:val="22"/>
          <w:szCs w:val="22"/>
        </w:rPr>
        <w:t xml:space="preserve"> VALOR CONVENIOS </w:t>
      </w:r>
      <w:r w:rsidRPr="00D96FD5">
        <w:rPr>
          <w:rFonts w:ascii="Arial" w:hAnsi="Arial" w:cs="Arial"/>
          <w:bCs/>
          <w:sz w:val="22"/>
          <w:szCs w:val="22"/>
          <w:lang w:val="es-CO"/>
        </w:rPr>
        <w:t>$ 25.082.496.873.91</w:t>
      </w:r>
      <w:r w:rsidRPr="00D96FD5">
        <w:rPr>
          <w:rFonts w:ascii="Arial" w:hAnsi="Arial" w:cs="Arial"/>
          <w:bCs/>
          <w:sz w:val="22"/>
          <w:szCs w:val="22"/>
        </w:rPr>
        <w:t xml:space="preserve">    </w:t>
      </w:r>
    </w:p>
    <w:p w:rsidR="00DC4E48" w:rsidRPr="00D96FD5" w:rsidRDefault="00DC4E48" w:rsidP="00DC4E48">
      <w:pPr>
        <w:tabs>
          <w:tab w:val="left" w:pos="360"/>
        </w:tabs>
        <w:jc w:val="both"/>
        <w:rPr>
          <w:rFonts w:ascii="Arial" w:hAnsi="Arial" w:cs="Arial"/>
          <w:bCs/>
          <w:sz w:val="22"/>
          <w:szCs w:val="22"/>
          <w:lang w:val="es-CO"/>
        </w:rPr>
      </w:pPr>
    </w:p>
    <w:p w:rsidR="00DC4E48" w:rsidRPr="00D96FD5" w:rsidRDefault="00DC4E48" w:rsidP="00DC4E48">
      <w:pPr>
        <w:tabs>
          <w:tab w:val="left" w:pos="360"/>
        </w:tabs>
        <w:jc w:val="both"/>
        <w:rPr>
          <w:rFonts w:ascii="Arial" w:hAnsi="Arial" w:cs="Arial"/>
          <w:b/>
          <w:bCs/>
          <w:sz w:val="22"/>
          <w:szCs w:val="22"/>
        </w:rPr>
      </w:pPr>
      <w:r w:rsidRPr="00D96FD5">
        <w:rPr>
          <w:rFonts w:ascii="Arial" w:hAnsi="Arial" w:cs="Arial"/>
          <w:b/>
          <w:bCs/>
          <w:sz w:val="22"/>
          <w:szCs w:val="22"/>
        </w:rPr>
        <w:t>SUSCRIPCION DE CONVENIOS POR ADMINISTRACION DE RECURSOS</w:t>
      </w:r>
    </w:p>
    <w:p w:rsidR="00DC4E48" w:rsidRPr="00D96FD5" w:rsidRDefault="00D96FD5" w:rsidP="00DC4E48">
      <w:pPr>
        <w:tabs>
          <w:tab w:val="left" w:pos="360"/>
        </w:tabs>
        <w:jc w:val="both"/>
        <w:rPr>
          <w:rFonts w:ascii="Arial" w:hAnsi="Arial" w:cs="Arial"/>
          <w:b/>
          <w:bCs/>
          <w:sz w:val="22"/>
          <w:szCs w:val="22"/>
        </w:rPr>
      </w:pPr>
      <w:r w:rsidRPr="00D96FD5">
        <w:rPr>
          <w:rFonts w:ascii="Arial" w:hAnsi="Arial" w:cs="Arial"/>
          <w:b/>
          <w:bCs/>
          <w:noProof/>
          <w:sz w:val="22"/>
          <w:szCs w:val="22"/>
        </w:rPr>
        <w:lastRenderedPageBreak/>
        <w:drawing>
          <wp:inline distT="0" distB="0" distL="0" distR="0">
            <wp:extent cx="5400040" cy="3238313"/>
            <wp:effectExtent l="19050" t="0" r="10160" b="19237"/>
            <wp:docPr id="5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4E48" w:rsidRDefault="00DC4E48" w:rsidP="00DC4E48">
      <w:pPr>
        <w:tabs>
          <w:tab w:val="left" w:pos="360"/>
        </w:tabs>
        <w:jc w:val="both"/>
        <w:rPr>
          <w:rFonts w:ascii="Arial" w:hAnsi="Arial" w:cs="Arial"/>
          <w:bCs/>
          <w:sz w:val="16"/>
          <w:szCs w:val="14"/>
        </w:rPr>
      </w:pPr>
    </w:p>
    <w:p w:rsidR="00DC4E48" w:rsidRDefault="00DC4E48" w:rsidP="00DC4E48">
      <w:pPr>
        <w:tabs>
          <w:tab w:val="left" w:pos="360"/>
        </w:tabs>
        <w:jc w:val="both"/>
        <w:rPr>
          <w:rFonts w:ascii="Arial" w:hAnsi="Arial" w:cs="Arial"/>
          <w:b/>
          <w:bCs/>
        </w:rPr>
      </w:pPr>
      <w:r w:rsidRPr="00DC4E48">
        <w:rPr>
          <w:rFonts w:ascii="Arial" w:hAnsi="Arial" w:cs="Arial"/>
          <w:b/>
          <w:bCs/>
        </w:rPr>
        <w:t>SUSCRIPCION DE CONVENIOS POR ADMINISTRACION DE RECURSOS</w:t>
      </w:r>
    </w:p>
    <w:p w:rsidR="00D96FD5" w:rsidRPr="00D96FD5" w:rsidRDefault="00D96FD5" w:rsidP="00DC4E48">
      <w:pPr>
        <w:tabs>
          <w:tab w:val="left" w:pos="360"/>
        </w:tabs>
        <w:jc w:val="both"/>
        <w:rPr>
          <w:rFonts w:ascii="Arial" w:hAnsi="Arial" w:cs="Arial"/>
          <w:bCs/>
          <w:sz w:val="22"/>
          <w:szCs w:val="22"/>
          <w:lang w:val="es-ES_tradnl"/>
        </w:rPr>
      </w:pPr>
    </w:p>
    <w:p w:rsidR="00DC4E48" w:rsidRPr="00D96FD5" w:rsidRDefault="00DC4E48" w:rsidP="00DC4E48">
      <w:pPr>
        <w:tabs>
          <w:tab w:val="left" w:pos="360"/>
        </w:tabs>
        <w:jc w:val="both"/>
        <w:rPr>
          <w:rFonts w:ascii="Arial" w:hAnsi="Arial" w:cs="Arial"/>
          <w:bCs/>
          <w:sz w:val="22"/>
          <w:szCs w:val="22"/>
        </w:rPr>
      </w:pPr>
      <w:r w:rsidRPr="00D96FD5">
        <w:rPr>
          <w:rFonts w:ascii="Arial" w:hAnsi="Arial" w:cs="Arial"/>
          <w:bCs/>
          <w:sz w:val="22"/>
          <w:szCs w:val="22"/>
        </w:rPr>
        <w:t xml:space="preserve"> En el</w:t>
      </w:r>
      <w:r w:rsidRPr="00D96FD5">
        <w:rPr>
          <w:rFonts w:ascii="Arial" w:hAnsi="Arial" w:cs="Arial"/>
          <w:b/>
          <w:bCs/>
          <w:sz w:val="22"/>
          <w:szCs w:val="22"/>
        </w:rPr>
        <w:t xml:space="preserve">   TRIMESTRE OCT-DIC  DE 2014, </w:t>
      </w:r>
      <w:r w:rsidRPr="00D96FD5">
        <w:rPr>
          <w:rFonts w:ascii="Arial" w:hAnsi="Arial" w:cs="Arial"/>
          <w:bCs/>
          <w:sz w:val="22"/>
          <w:szCs w:val="22"/>
        </w:rPr>
        <w:t xml:space="preserve">por la modalidad de </w:t>
      </w:r>
      <w:r w:rsidRPr="00D96FD5">
        <w:rPr>
          <w:rFonts w:ascii="Arial" w:hAnsi="Arial" w:cs="Arial"/>
          <w:b/>
          <w:bCs/>
          <w:sz w:val="22"/>
          <w:szCs w:val="22"/>
        </w:rPr>
        <w:t>CAPTACION  POR ADMINISTRACION DE CONVENIOS</w:t>
      </w:r>
      <w:r w:rsidRPr="00D96FD5">
        <w:rPr>
          <w:rFonts w:ascii="Arial" w:hAnsi="Arial" w:cs="Arial"/>
          <w:bCs/>
          <w:sz w:val="22"/>
          <w:szCs w:val="22"/>
        </w:rPr>
        <w:t>,  se vienen  administrando aproximadamente  407 Convenios  Activos , con un saldo a   DICIEMBRE  31</w:t>
      </w:r>
      <w:r w:rsidRPr="00D96FD5">
        <w:rPr>
          <w:rFonts w:ascii="Arial" w:hAnsi="Arial" w:cs="Arial"/>
          <w:b/>
          <w:bCs/>
          <w:sz w:val="22"/>
          <w:szCs w:val="22"/>
        </w:rPr>
        <w:t xml:space="preserve">  </w:t>
      </w:r>
      <w:r w:rsidRPr="00D96FD5">
        <w:rPr>
          <w:rFonts w:ascii="Arial" w:hAnsi="Arial" w:cs="Arial"/>
          <w:bCs/>
          <w:sz w:val="22"/>
          <w:szCs w:val="22"/>
        </w:rPr>
        <w:t xml:space="preserve">DE 2014  </w:t>
      </w:r>
      <w:r w:rsidRPr="00D96FD5">
        <w:rPr>
          <w:rFonts w:ascii="Arial" w:hAnsi="Arial" w:cs="Arial"/>
          <w:b/>
          <w:bCs/>
          <w:sz w:val="22"/>
          <w:szCs w:val="22"/>
          <w:lang w:val="es-CO"/>
        </w:rPr>
        <w:t>$ 16.344.210.024,62</w:t>
      </w:r>
      <w:r w:rsidRPr="00D96FD5">
        <w:rPr>
          <w:rFonts w:ascii="Arial" w:hAnsi="Arial" w:cs="Arial"/>
          <w:b/>
          <w:bCs/>
          <w:sz w:val="22"/>
          <w:szCs w:val="22"/>
        </w:rPr>
        <w:t xml:space="preserve">. </w:t>
      </w:r>
      <w:r w:rsidRPr="00D96FD5">
        <w:rPr>
          <w:rFonts w:ascii="Arial" w:hAnsi="Arial" w:cs="Arial"/>
          <w:bCs/>
          <w:sz w:val="22"/>
          <w:szCs w:val="22"/>
        </w:rPr>
        <w:t xml:space="preserve">Es   importante señalar que de los Convenios que  se vienen administrando  en un gran porcentaje  corresponden a la  SECRETARIA DE  CULTURA, TRANSPORTE  Y  DESARROLLO del Gobierno Departamental. A través de esta modalidad   se genera un valor  adicional del  2%  por costo operativo. Se </w:t>
      </w:r>
      <w:r w:rsidR="00D96FD5" w:rsidRPr="00D96FD5">
        <w:rPr>
          <w:rFonts w:ascii="Arial" w:hAnsi="Arial" w:cs="Arial"/>
          <w:bCs/>
          <w:sz w:val="22"/>
          <w:szCs w:val="22"/>
        </w:rPr>
        <w:t>continúan</w:t>
      </w:r>
      <w:r w:rsidRPr="00D96FD5">
        <w:rPr>
          <w:rFonts w:ascii="Arial" w:hAnsi="Arial" w:cs="Arial"/>
          <w:bCs/>
          <w:sz w:val="22"/>
          <w:szCs w:val="22"/>
        </w:rPr>
        <w:t xml:space="preserve"> adelantando  acciones para  la  suscripción de  nuevos convenios  con  el  Departamento  y algunos </w:t>
      </w:r>
      <w:r w:rsidR="00D96FD5" w:rsidRPr="00D96FD5">
        <w:rPr>
          <w:rFonts w:ascii="Arial" w:hAnsi="Arial" w:cs="Arial"/>
          <w:bCs/>
          <w:sz w:val="22"/>
          <w:szCs w:val="22"/>
        </w:rPr>
        <w:t>municipios.</w:t>
      </w:r>
    </w:p>
    <w:p w:rsidR="00DC4E48" w:rsidRPr="00D96FD5" w:rsidRDefault="00DC4E48" w:rsidP="00DC4E48">
      <w:pPr>
        <w:tabs>
          <w:tab w:val="left" w:pos="360"/>
        </w:tabs>
        <w:jc w:val="both"/>
        <w:rPr>
          <w:rFonts w:ascii="Arial" w:hAnsi="Arial" w:cs="Arial"/>
          <w:b/>
          <w:bCs/>
          <w:sz w:val="22"/>
          <w:szCs w:val="22"/>
        </w:rPr>
      </w:pPr>
    </w:p>
    <w:p w:rsidR="00DC4E48" w:rsidRPr="00D96FD5" w:rsidRDefault="00DC4E48" w:rsidP="00DC4E48">
      <w:pPr>
        <w:tabs>
          <w:tab w:val="left" w:pos="360"/>
        </w:tabs>
        <w:jc w:val="both"/>
        <w:rPr>
          <w:rFonts w:ascii="Arial" w:hAnsi="Arial" w:cs="Arial"/>
          <w:b/>
          <w:bCs/>
          <w:sz w:val="22"/>
          <w:szCs w:val="22"/>
        </w:rPr>
      </w:pPr>
      <w:r w:rsidRPr="00D96FD5">
        <w:rPr>
          <w:rFonts w:ascii="Arial" w:hAnsi="Arial" w:cs="Arial"/>
          <w:b/>
          <w:bCs/>
          <w:sz w:val="22"/>
          <w:szCs w:val="22"/>
        </w:rPr>
        <w:t>EFICIENCIA DE PAGOS DE CONVENIOS</w:t>
      </w:r>
    </w:p>
    <w:p w:rsidR="00DC4E48" w:rsidRDefault="00DC4E48" w:rsidP="00D96FD5">
      <w:pPr>
        <w:tabs>
          <w:tab w:val="left" w:pos="360"/>
        </w:tabs>
        <w:rPr>
          <w:rFonts w:ascii="Arial" w:hAnsi="Arial" w:cs="Arial"/>
          <w:b/>
          <w:bCs/>
          <w:sz w:val="22"/>
          <w:szCs w:val="22"/>
        </w:rPr>
      </w:pPr>
    </w:p>
    <w:p w:rsidR="00D96FD5" w:rsidRPr="00D96FD5" w:rsidRDefault="00D96FD5" w:rsidP="00D96FD5">
      <w:pPr>
        <w:tabs>
          <w:tab w:val="left" w:pos="360"/>
        </w:tabs>
        <w:rPr>
          <w:rFonts w:ascii="Arial" w:hAnsi="Arial" w:cs="Arial"/>
          <w:b/>
          <w:bCs/>
          <w:sz w:val="22"/>
          <w:szCs w:val="22"/>
        </w:rPr>
      </w:pPr>
      <w:r w:rsidRPr="00D96FD5">
        <w:rPr>
          <w:rFonts w:ascii="Arial" w:hAnsi="Arial" w:cs="Arial"/>
          <w:b/>
          <w:bCs/>
          <w:noProof/>
          <w:sz w:val="22"/>
          <w:szCs w:val="22"/>
        </w:rPr>
        <w:drawing>
          <wp:inline distT="0" distB="0" distL="0" distR="0">
            <wp:extent cx="5400040" cy="2762342"/>
            <wp:effectExtent l="19050" t="0" r="10160" b="18958"/>
            <wp:docPr id="6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4E48" w:rsidRPr="00D96FD5" w:rsidRDefault="00DC4E48" w:rsidP="00DC4E48">
      <w:pPr>
        <w:tabs>
          <w:tab w:val="left" w:pos="360"/>
        </w:tabs>
        <w:jc w:val="both"/>
        <w:rPr>
          <w:rFonts w:ascii="Arial" w:hAnsi="Arial" w:cs="Arial"/>
          <w:b/>
          <w:bCs/>
          <w:sz w:val="22"/>
          <w:szCs w:val="22"/>
        </w:rPr>
      </w:pPr>
    </w:p>
    <w:p w:rsidR="00DC4E48" w:rsidRPr="00D96FD5" w:rsidRDefault="00DC4E48" w:rsidP="00DC4E48">
      <w:pPr>
        <w:jc w:val="both"/>
        <w:rPr>
          <w:rFonts w:ascii="Arial" w:hAnsi="Arial" w:cs="Arial"/>
          <w:bCs/>
          <w:sz w:val="22"/>
          <w:szCs w:val="22"/>
          <w:lang w:val="es-ES_tradnl"/>
        </w:rPr>
      </w:pPr>
      <w:r w:rsidRPr="00D96FD5">
        <w:rPr>
          <w:rFonts w:ascii="Arial" w:hAnsi="Arial" w:cs="Arial"/>
          <w:b/>
          <w:bCs/>
          <w:sz w:val="22"/>
          <w:szCs w:val="22"/>
        </w:rPr>
        <w:t>EFICIENCIA DE PAGOS DE CONVENIOS</w:t>
      </w:r>
    </w:p>
    <w:p w:rsidR="00DC4E48" w:rsidRPr="00D96FD5" w:rsidRDefault="00DC4E48" w:rsidP="00DC4E48">
      <w:pPr>
        <w:jc w:val="both"/>
        <w:rPr>
          <w:rFonts w:ascii="Arial" w:hAnsi="Arial" w:cs="Arial"/>
          <w:bCs/>
          <w:sz w:val="22"/>
          <w:szCs w:val="22"/>
          <w:rtl/>
        </w:rPr>
      </w:pPr>
      <w:r w:rsidRPr="00D96FD5">
        <w:rPr>
          <w:rFonts w:ascii="Arial" w:hAnsi="Arial" w:cs="Arial"/>
          <w:bCs/>
          <w:sz w:val="22"/>
          <w:szCs w:val="22"/>
        </w:rPr>
        <w:t xml:space="preserve"> </w:t>
      </w:r>
    </w:p>
    <w:p w:rsidR="00DC4E48" w:rsidRPr="00D96FD5" w:rsidRDefault="00DC4E48" w:rsidP="00DC4E48">
      <w:pPr>
        <w:jc w:val="both"/>
        <w:rPr>
          <w:rFonts w:ascii="Arial" w:hAnsi="Arial" w:cs="Arial"/>
          <w:bCs/>
          <w:sz w:val="22"/>
          <w:szCs w:val="22"/>
        </w:rPr>
      </w:pPr>
      <w:r w:rsidRPr="00D96FD5">
        <w:rPr>
          <w:rFonts w:ascii="Arial" w:hAnsi="Arial" w:cs="Arial"/>
          <w:bCs/>
          <w:sz w:val="22"/>
          <w:szCs w:val="22"/>
        </w:rPr>
        <w:lastRenderedPageBreak/>
        <w:t>En el  TRIMESTRE OCT-DIC se  efectuaron  124  trámites para el pago de cuentas Convenios, se observa  una  ejecución  importante  de  los convenios por parte de las oficinas gestoras, tendencia   positiva  para la gestión   administrativa de la entidad  y  para las oficinas gestoras</w:t>
      </w:r>
    </w:p>
    <w:p w:rsidR="00DC4E48" w:rsidRPr="00D96FD5" w:rsidRDefault="00DC4E48" w:rsidP="00DC4E48">
      <w:pPr>
        <w:jc w:val="both"/>
        <w:rPr>
          <w:rFonts w:ascii="Arial" w:hAnsi="Arial" w:cs="Arial"/>
          <w:bCs/>
          <w:sz w:val="22"/>
          <w:szCs w:val="22"/>
        </w:rPr>
      </w:pPr>
    </w:p>
    <w:p w:rsidR="00DC4E48" w:rsidRPr="00D96FD5" w:rsidRDefault="00DC4E48" w:rsidP="00DC4E48">
      <w:pPr>
        <w:jc w:val="both"/>
        <w:rPr>
          <w:rFonts w:ascii="Arial" w:hAnsi="Arial" w:cs="Arial"/>
          <w:bCs/>
          <w:sz w:val="22"/>
          <w:szCs w:val="22"/>
          <w:rtl/>
        </w:rPr>
      </w:pPr>
    </w:p>
    <w:p w:rsidR="00DC4E48" w:rsidRPr="00D96FD5" w:rsidRDefault="00DC4E48" w:rsidP="00DC4E48">
      <w:pPr>
        <w:tabs>
          <w:tab w:val="left" w:pos="360"/>
        </w:tabs>
        <w:jc w:val="both"/>
        <w:rPr>
          <w:rFonts w:ascii="Arial" w:hAnsi="Arial" w:cs="Arial"/>
          <w:b/>
          <w:bCs/>
          <w:color w:val="008000"/>
          <w:sz w:val="22"/>
          <w:szCs w:val="22"/>
        </w:rPr>
      </w:pPr>
      <w:r w:rsidRPr="00D96FD5">
        <w:rPr>
          <w:rFonts w:ascii="Arial" w:hAnsi="Arial" w:cs="Arial"/>
          <w:b/>
          <w:bCs/>
          <w:color w:val="008000"/>
          <w:sz w:val="22"/>
          <w:szCs w:val="22"/>
        </w:rPr>
        <w:t>4.4 CAPTACION Y COLOCACIÓN DE RECURSOS FINANCIEROS</w:t>
      </w:r>
    </w:p>
    <w:p w:rsidR="00DC4E48" w:rsidRPr="00D96FD5" w:rsidRDefault="00DC4E48" w:rsidP="00DC4E48">
      <w:pPr>
        <w:tabs>
          <w:tab w:val="left" w:pos="360"/>
        </w:tabs>
        <w:jc w:val="both"/>
        <w:rPr>
          <w:rFonts w:ascii="Arial" w:hAnsi="Arial" w:cs="Arial"/>
          <w:b/>
          <w:bCs/>
          <w:sz w:val="22"/>
          <w:szCs w:val="22"/>
        </w:rPr>
      </w:pPr>
    </w:p>
    <w:p w:rsidR="00DC4E48" w:rsidRPr="00D96FD5" w:rsidRDefault="00DC4E48" w:rsidP="00DC4E48">
      <w:pPr>
        <w:tabs>
          <w:tab w:val="left" w:pos="360"/>
        </w:tabs>
        <w:jc w:val="both"/>
        <w:rPr>
          <w:rFonts w:ascii="Arial" w:hAnsi="Arial" w:cs="Arial"/>
          <w:bCs/>
          <w:sz w:val="22"/>
          <w:szCs w:val="22"/>
        </w:rPr>
      </w:pPr>
      <w:r w:rsidRPr="00D96FD5">
        <w:rPr>
          <w:rFonts w:ascii="Arial" w:hAnsi="Arial" w:cs="Arial"/>
          <w:bCs/>
          <w:sz w:val="22"/>
          <w:szCs w:val="22"/>
        </w:rPr>
        <w:t>El Dr. Eduardo Herrera Tesorero presenta los indicadores de la autoevaluación de su proceso Captación y colocación.</w:t>
      </w:r>
    </w:p>
    <w:p w:rsidR="00DC4E48" w:rsidRPr="00D96FD5" w:rsidRDefault="00DC4E48" w:rsidP="00DC4E48">
      <w:pPr>
        <w:tabs>
          <w:tab w:val="left" w:pos="360"/>
        </w:tabs>
        <w:jc w:val="both"/>
        <w:rPr>
          <w:rFonts w:ascii="Arial" w:hAnsi="Arial" w:cs="Arial"/>
          <w:b/>
          <w:bCs/>
          <w:sz w:val="22"/>
          <w:szCs w:val="22"/>
        </w:rPr>
      </w:pPr>
    </w:p>
    <w:p w:rsidR="00DC4E48" w:rsidRPr="00D96FD5" w:rsidRDefault="00DC4E48" w:rsidP="00DC4E48">
      <w:pPr>
        <w:tabs>
          <w:tab w:val="left" w:pos="360"/>
        </w:tabs>
        <w:jc w:val="both"/>
        <w:rPr>
          <w:rFonts w:ascii="Arial" w:hAnsi="Arial" w:cs="Arial"/>
          <w:b/>
          <w:bCs/>
          <w:sz w:val="22"/>
          <w:szCs w:val="22"/>
        </w:rPr>
      </w:pPr>
      <w:r w:rsidRPr="00D96FD5">
        <w:rPr>
          <w:rFonts w:ascii="Arial" w:hAnsi="Arial" w:cs="Arial"/>
          <w:b/>
          <w:bCs/>
          <w:sz w:val="22"/>
          <w:szCs w:val="22"/>
        </w:rPr>
        <w:t>%Eficacia Expedición De Extractos</w:t>
      </w:r>
    </w:p>
    <w:p w:rsidR="00DF3AA7" w:rsidRPr="00D96FD5" w:rsidRDefault="00DF3AA7" w:rsidP="00DC4E48">
      <w:pPr>
        <w:tabs>
          <w:tab w:val="left" w:pos="360"/>
        </w:tabs>
        <w:jc w:val="both"/>
        <w:rPr>
          <w:rFonts w:ascii="Arial" w:hAnsi="Arial" w:cs="Arial"/>
          <w:b/>
          <w:bCs/>
          <w:sz w:val="22"/>
          <w:szCs w:val="22"/>
        </w:rPr>
      </w:pPr>
    </w:p>
    <w:p w:rsidR="00DF3AA7" w:rsidRPr="00D96FD5" w:rsidRDefault="00DF3AA7" w:rsidP="00DC4E48">
      <w:pPr>
        <w:tabs>
          <w:tab w:val="left" w:pos="360"/>
        </w:tabs>
        <w:jc w:val="both"/>
        <w:rPr>
          <w:rFonts w:ascii="Arial" w:hAnsi="Arial" w:cs="Arial"/>
          <w:b/>
          <w:bCs/>
          <w:sz w:val="22"/>
          <w:szCs w:val="22"/>
        </w:rPr>
      </w:pPr>
      <w:r w:rsidRPr="00D96FD5">
        <w:rPr>
          <w:noProof/>
          <w:sz w:val="22"/>
          <w:szCs w:val="22"/>
        </w:rPr>
        <w:drawing>
          <wp:inline distT="0" distB="0" distL="0" distR="0">
            <wp:extent cx="5057775" cy="3116791"/>
            <wp:effectExtent l="19050" t="0" r="9525" b="26459"/>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4E48" w:rsidRPr="00D96FD5" w:rsidRDefault="00DC4E48" w:rsidP="00DC4E48">
      <w:pPr>
        <w:tabs>
          <w:tab w:val="left" w:pos="360"/>
        </w:tabs>
        <w:jc w:val="center"/>
        <w:rPr>
          <w:sz w:val="22"/>
          <w:szCs w:val="22"/>
        </w:rPr>
      </w:pPr>
    </w:p>
    <w:p w:rsidR="00DC4E48" w:rsidRPr="00D96FD5" w:rsidRDefault="00DC4E48" w:rsidP="00DC4E48">
      <w:pPr>
        <w:tabs>
          <w:tab w:val="left" w:pos="360"/>
        </w:tabs>
        <w:jc w:val="center"/>
        <w:rPr>
          <w:sz w:val="22"/>
          <w:szCs w:val="22"/>
        </w:rPr>
      </w:pPr>
    </w:p>
    <w:p w:rsidR="00DC4E48" w:rsidRPr="00D96FD5" w:rsidRDefault="00DC4E48" w:rsidP="00DC4E48">
      <w:pPr>
        <w:tabs>
          <w:tab w:val="left" w:pos="360"/>
        </w:tabs>
        <w:jc w:val="both"/>
        <w:rPr>
          <w:rFonts w:ascii="Arial" w:hAnsi="Arial" w:cs="Arial"/>
          <w:bCs/>
          <w:sz w:val="22"/>
          <w:szCs w:val="22"/>
          <w:lang w:val="es-CO"/>
        </w:rPr>
      </w:pPr>
      <w:r w:rsidRPr="00D96FD5">
        <w:rPr>
          <w:rFonts w:ascii="Arial" w:hAnsi="Arial" w:cs="Arial"/>
          <w:bCs/>
          <w:sz w:val="22"/>
          <w:szCs w:val="22"/>
          <w:lang w:val="es-CO"/>
        </w:rPr>
        <w:t xml:space="preserve">En el </w:t>
      </w:r>
      <w:r w:rsidR="00DF3AA7" w:rsidRPr="00D96FD5">
        <w:rPr>
          <w:rFonts w:ascii="Arial" w:hAnsi="Arial" w:cs="Arial"/>
          <w:bCs/>
          <w:sz w:val="22"/>
          <w:szCs w:val="22"/>
          <w:lang w:val="es-CO"/>
        </w:rPr>
        <w:t>Segundo Semestre del 2014</w:t>
      </w:r>
      <w:r w:rsidRPr="00D96FD5">
        <w:rPr>
          <w:rFonts w:ascii="Arial" w:hAnsi="Arial" w:cs="Arial"/>
          <w:bCs/>
          <w:sz w:val="22"/>
          <w:szCs w:val="22"/>
          <w:lang w:val="es-CO"/>
        </w:rPr>
        <w:t xml:space="preserve"> se enviaron 306 extractos a los diferentes clientes, siendo 100% la satisfacción por la entrega a tiempo.</w:t>
      </w:r>
    </w:p>
    <w:p w:rsidR="00DC4E48" w:rsidRPr="00D96FD5" w:rsidRDefault="00DC4E48" w:rsidP="00DC4E48">
      <w:pPr>
        <w:tabs>
          <w:tab w:val="left" w:pos="360"/>
        </w:tabs>
        <w:jc w:val="both"/>
        <w:rPr>
          <w:rFonts w:ascii="Arial" w:hAnsi="Arial" w:cs="Arial"/>
          <w:bCs/>
          <w:sz w:val="22"/>
          <w:szCs w:val="22"/>
          <w:lang w:val="es-CO"/>
        </w:rPr>
      </w:pPr>
      <w:r w:rsidRPr="00D96FD5">
        <w:rPr>
          <w:rFonts w:ascii="Arial" w:hAnsi="Arial" w:cs="Arial"/>
          <w:bCs/>
          <w:sz w:val="22"/>
          <w:szCs w:val="22"/>
          <w:lang w:val="es-CO"/>
        </w:rPr>
        <w:t xml:space="preserve"> </w:t>
      </w:r>
    </w:p>
    <w:p w:rsidR="00DC4E48" w:rsidRPr="00D96FD5" w:rsidRDefault="00DC4E48" w:rsidP="00DC4E48">
      <w:pPr>
        <w:tabs>
          <w:tab w:val="left" w:pos="360"/>
        </w:tabs>
        <w:jc w:val="both"/>
        <w:rPr>
          <w:rFonts w:ascii="Arial" w:hAnsi="Arial" w:cs="Arial"/>
          <w:b/>
          <w:bCs/>
          <w:sz w:val="22"/>
          <w:szCs w:val="22"/>
        </w:rPr>
      </w:pPr>
    </w:p>
    <w:p w:rsidR="00DC4E48" w:rsidRPr="00D96FD5" w:rsidRDefault="00DC4E48" w:rsidP="00DC4E48">
      <w:pPr>
        <w:tabs>
          <w:tab w:val="left" w:pos="360"/>
        </w:tabs>
        <w:jc w:val="both"/>
        <w:rPr>
          <w:rFonts w:ascii="Arial" w:hAnsi="Arial" w:cs="Arial"/>
          <w:b/>
          <w:bCs/>
          <w:sz w:val="22"/>
          <w:szCs w:val="22"/>
        </w:rPr>
      </w:pPr>
      <w:r w:rsidRPr="00D96FD5">
        <w:rPr>
          <w:rFonts w:ascii="Arial" w:hAnsi="Arial" w:cs="Arial"/>
          <w:b/>
          <w:bCs/>
          <w:sz w:val="22"/>
          <w:szCs w:val="22"/>
        </w:rPr>
        <w:t>QUEJAS POR INFORMACIÓN NO OPORTUNA O INCOMPLETA</w:t>
      </w:r>
    </w:p>
    <w:p w:rsidR="00DC4E48" w:rsidRPr="00D96FD5" w:rsidRDefault="00DC4E48" w:rsidP="00DC4E48">
      <w:pPr>
        <w:tabs>
          <w:tab w:val="left" w:pos="360"/>
        </w:tabs>
        <w:jc w:val="center"/>
        <w:rPr>
          <w:rFonts w:ascii="Arial" w:hAnsi="Arial" w:cs="Arial"/>
          <w:b/>
          <w:bCs/>
          <w:sz w:val="22"/>
          <w:szCs w:val="22"/>
        </w:rPr>
      </w:pPr>
    </w:p>
    <w:p w:rsidR="00DC4E48" w:rsidRDefault="00DF3AA7" w:rsidP="00DC4E48">
      <w:pPr>
        <w:tabs>
          <w:tab w:val="left" w:pos="360"/>
        </w:tabs>
        <w:jc w:val="center"/>
        <w:rPr>
          <w:rFonts w:ascii="Arial" w:hAnsi="Arial" w:cs="Arial"/>
          <w:b/>
          <w:bCs/>
          <w:sz w:val="22"/>
          <w:szCs w:val="22"/>
        </w:rPr>
      </w:pPr>
      <w:r w:rsidRPr="00D96FD5">
        <w:rPr>
          <w:noProof/>
          <w:sz w:val="22"/>
          <w:szCs w:val="22"/>
        </w:rPr>
        <w:lastRenderedPageBreak/>
        <w:drawing>
          <wp:inline distT="0" distB="0" distL="0" distR="0">
            <wp:extent cx="5010150" cy="3069166"/>
            <wp:effectExtent l="19050" t="0" r="19050" b="16934"/>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6FD5" w:rsidRPr="00D96FD5" w:rsidRDefault="00D96FD5" w:rsidP="00DC4E48">
      <w:pPr>
        <w:tabs>
          <w:tab w:val="left" w:pos="360"/>
        </w:tabs>
        <w:jc w:val="center"/>
        <w:rPr>
          <w:rFonts w:ascii="Arial" w:hAnsi="Arial" w:cs="Arial"/>
          <w:b/>
          <w:bCs/>
          <w:sz w:val="22"/>
          <w:szCs w:val="22"/>
        </w:rPr>
      </w:pPr>
    </w:p>
    <w:p w:rsidR="00DC4E48" w:rsidRPr="00D96FD5" w:rsidRDefault="00DC4E48" w:rsidP="00DC4E48">
      <w:pPr>
        <w:tabs>
          <w:tab w:val="left" w:pos="360"/>
        </w:tabs>
        <w:jc w:val="both"/>
        <w:rPr>
          <w:rFonts w:ascii="Arial" w:hAnsi="Arial" w:cs="Arial"/>
          <w:bCs/>
          <w:sz w:val="22"/>
          <w:szCs w:val="22"/>
          <w:lang w:val="es-CO"/>
        </w:rPr>
      </w:pPr>
      <w:r w:rsidRPr="00D96FD5">
        <w:rPr>
          <w:rFonts w:ascii="Arial" w:hAnsi="Arial" w:cs="Arial"/>
          <w:bCs/>
          <w:sz w:val="22"/>
          <w:szCs w:val="22"/>
          <w:lang w:val="es-CO"/>
        </w:rPr>
        <w:t>En lo que tiene que ver con quejas de los clientes en este semestre no se presento ninguna en el Departamento de Tesorería, y esperamos que  continuemos prestándole un servicio oportuno y de buena calidad como se ha venido realizando hasta la fecha.</w:t>
      </w:r>
    </w:p>
    <w:p w:rsidR="00DC4E48" w:rsidRPr="00D96FD5" w:rsidRDefault="00DC4E48" w:rsidP="00DC4E48">
      <w:pPr>
        <w:tabs>
          <w:tab w:val="left" w:pos="360"/>
        </w:tabs>
        <w:jc w:val="both"/>
        <w:rPr>
          <w:rFonts w:ascii="Arial" w:hAnsi="Arial" w:cs="Arial"/>
          <w:b/>
          <w:bCs/>
          <w:sz w:val="22"/>
          <w:szCs w:val="22"/>
          <w:lang w:val="es-CO"/>
        </w:rPr>
      </w:pPr>
    </w:p>
    <w:p w:rsidR="00DC4E48" w:rsidRPr="00D96FD5" w:rsidRDefault="00DC4E48" w:rsidP="00DC4E48">
      <w:pPr>
        <w:tabs>
          <w:tab w:val="left" w:pos="360"/>
        </w:tabs>
        <w:jc w:val="both"/>
        <w:rPr>
          <w:rFonts w:ascii="Arial" w:hAnsi="Arial" w:cs="Arial"/>
          <w:b/>
          <w:bCs/>
          <w:sz w:val="22"/>
          <w:szCs w:val="22"/>
        </w:rPr>
      </w:pPr>
      <w:r w:rsidRPr="00D96FD5">
        <w:rPr>
          <w:rFonts w:ascii="Arial" w:hAnsi="Arial" w:cs="Arial"/>
          <w:b/>
          <w:bCs/>
          <w:sz w:val="22"/>
          <w:szCs w:val="22"/>
        </w:rPr>
        <w:t>% Calificación Proveedores Financieros</w:t>
      </w:r>
    </w:p>
    <w:p w:rsidR="00DC4E48" w:rsidRPr="00D96FD5" w:rsidRDefault="00DC4E48" w:rsidP="00DC4E48">
      <w:pPr>
        <w:tabs>
          <w:tab w:val="left" w:pos="360"/>
        </w:tabs>
        <w:jc w:val="both"/>
        <w:rPr>
          <w:rFonts w:ascii="Arial" w:hAnsi="Arial" w:cs="Arial"/>
          <w:b/>
          <w:bCs/>
          <w:sz w:val="22"/>
          <w:szCs w:val="22"/>
        </w:rPr>
      </w:pPr>
    </w:p>
    <w:p w:rsidR="00DC4E48" w:rsidRPr="00D96FD5" w:rsidRDefault="00DF3AA7" w:rsidP="00DC4E48">
      <w:pPr>
        <w:tabs>
          <w:tab w:val="left" w:pos="360"/>
        </w:tabs>
        <w:jc w:val="center"/>
        <w:rPr>
          <w:rFonts w:ascii="Arial" w:hAnsi="Arial" w:cs="Arial"/>
          <w:b/>
          <w:bCs/>
          <w:sz w:val="22"/>
          <w:szCs w:val="22"/>
        </w:rPr>
      </w:pPr>
      <w:r w:rsidRPr="00D96FD5">
        <w:rPr>
          <w:noProof/>
          <w:sz w:val="22"/>
          <w:szCs w:val="22"/>
        </w:rPr>
        <w:drawing>
          <wp:inline distT="0" distB="0" distL="0" distR="0">
            <wp:extent cx="5019674" cy="2604558"/>
            <wp:effectExtent l="19050" t="0" r="9526" b="24342"/>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4E48" w:rsidRPr="00D96FD5" w:rsidRDefault="00DC4E48" w:rsidP="00DC4E48">
      <w:pPr>
        <w:tabs>
          <w:tab w:val="left" w:pos="360"/>
        </w:tabs>
        <w:jc w:val="both"/>
        <w:rPr>
          <w:rFonts w:ascii="Arial" w:hAnsi="Arial" w:cs="Arial"/>
          <w:bCs/>
          <w:sz w:val="22"/>
          <w:szCs w:val="22"/>
          <w:lang w:val="es-CO"/>
        </w:rPr>
      </w:pPr>
    </w:p>
    <w:p w:rsidR="00DC4E48" w:rsidRPr="00D96FD5" w:rsidRDefault="00DC4E48" w:rsidP="00DC4E48">
      <w:pPr>
        <w:tabs>
          <w:tab w:val="left" w:pos="360"/>
        </w:tabs>
        <w:jc w:val="both"/>
        <w:rPr>
          <w:rFonts w:ascii="Arial" w:hAnsi="Arial" w:cs="Arial"/>
          <w:sz w:val="22"/>
          <w:szCs w:val="22"/>
        </w:rPr>
      </w:pPr>
      <w:r w:rsidRPr="00D96FD5">
        <w:rPr>
          <w:rFonts w:ascii="Arial" w:hAnsi="Arial" w:cs="Arial"/>
          <w:bCs/>
          <w:sz w:val="22"/>
          <w:szCs w:val="22"/>
          <w:lang w:val="es-CO"/>
        </w:rPr>
        <w:t>En la reevaluación de los proveedores financier</w:t>
      </w:r>
      <w:r w:rsidR="00DF3AA7" w:rsidRPr="00D96FD5">
        <w:rPr>
          <w:rFonts w:ascii="Arial" w:hAnsi="Arial" w:cs="Arial"/>
          <w:bCs/>
          <w:sz w:val="22"/>
          <w:szCs w:val="22"/>
          <w:lang w:val="es-CO"/>
        </w:rPr>
        <w:t>os del Segundo Semestre del 2014</w:t>
      </w:r>
      <w:r w:rsidRPr="00D96FD5">
        <w:rPr>
          <w:rFonts w:ascii="Arial" w:hAnsi="Arial" w:cs="Arial"/>
          <w:bCs/>
          <w:sz w:val="22"/>
          <w:szCs w:val="22"/>
          <w:lang w:val="es-CO"/>
        </w:rPr>
        <w:t xml:space="preserve"> se obtuvo un promedio de </w:t>
      </w:r>
      <w:r w:rsidR="00DF3AA7" w:rsidRPr="00D96FD5">
        <w:rPr>
          <w:rFonts w:ascii="Arial" w:hAnsi="Arial" w:cs="Arial"/>
          <w:bCs/>
          <w:sz w:val="22"/>
          <w:szCs w:val="22"/>
          <w:lang w:val="es-CO"/>
        </w:rPr>
        <w:t>86.75</w:t>
      </w:r>
      <w:r w:rsidRPr="00D96FD5">
        <w:rPr>
          <w:rFonts w:ascii="Arial" w:hAnsi="Arial" w:cs="Arial"/>
          <w:bCs/>
          <w:sz w:val="22"/>
          <w:szCs w:val="22"/>
          <w:lang w:val="es-CO"/>
        </w:rPr>
        <w:t>%, manteniéndose con respecto al Semestre anterior debido a que se colocó los rendimientos financieros en entidades de calificación AAA+ o su análoga DP1+ y AA+ como lo exige la ley</w:t>
      </w:r>
      <w:r w:rsidRPr="00D96FD5">
        <w:rPr>
          <w:rFonts w:ascii="Arial" w:hAnsi="Arial" w:cs="Arial"/>
          <w:sz w:val="22"/>
          <w:szCs w:val="22"/>
        </w:rPr>
        <w:t xml:space="preserve"> Se observa una tendencia a mejorar la calificación de los proveedores financieros.</w:t>
      </w:r>
    </w:p>
    <w:p w:rsidR="00DC4E48" w:rsidRPr="00D96FD5" w:rsidRDefault="00DC4E48" w:rsidP="00DC4E48">
      <w:pPr>
        <w:tabs>
          <w:tab w:val="left" w:pos="360"/>
        </w:tabs>
        <w:jc w:val="both"/>
        <w:rPr>
          <w:rFonts w:ascii="Arial" w:hAnsi="Arial" w:cs="Arial"/>
          <w:sz w:val="22"/>
          <w:szCs w:val="22"/>
        </w:rPr>
      </w:pPr>
    </w:p>
    <w:p w:rsidR="00DC4E48" w:rsidRPr="00D96FD5" w:rsidRDefault="00DC4E48" w:rsidP="00DC4E48">
      <w:pPr>
        <w:tabs>
          <w:tab w:val="left" w:pos="360"/>
        </w:tabs>
        <w:jc w:val="both"/>
        <w:rPr>
          <w:rFonts w:ascii="Arial" w:hAnsi="Arial" w:cs="Arial"/>
          <w:sz w:val="22"/>
          <w:szCs w:val="22"/>
        </w:rPr>
      </w:pPr>
    </w:p>
    <w:p w:rsidR="00DC4E48" w:rsidRPr="00D96FD5" w:rsidRDefault="00DC4E48" w:rsidP="00DC4E48">
      <w:pPr>
        <w:tabs>
          <w:tab w:val="left" w:pos="360"/>
        </w:tabs>
        <w:jc w:val="both"/>
        <w:rPr>
          <w:rFonts w:ascii="Arial" w:hAnsi="Arial" w:cs="Arial"/>
          <w:b/>
          <w:bCs/>
          <w:sz w:val="22"/>
          <w:szCs w:val="22"/>
        </w:rPr>
      </w:pPr>
      <w:r w:rsidRPr="00D96FD5">
        <w:rPr>
          <w:rFonts w:ascii="Arial" w:hAnsi="Arial" w:cs="Arial"/>
          <w:b/>
          <w:bCs/>
          <w:sz w:val="22"/>
          <w:szCs w:val="22"/>
        </w:rPr>
        <w:t>% TASA PROMEDIO DE DEPOSITOS:</w:t>
      </w:r>
    </w:p>
    <w:p w:rsidR="00DC4E48" w:rsidRPr="00D96FD5" w:rsidRDefault="00DC4E48" w:rsidP="00DC4E48">
      <w:pPr>
        <w:tabs>
          <w:tab w:val="left" w:pos="360"/>
        </w:tabs>
        <w:jc w:val="both"/>
        <w:rPr>
          <w:rFonts w:ascii="Arial" w:hAnsi="Arial" w:cs="Arial"/>
          <w:b/>
          <w:bCs/>
          <w:sz w:val="22"/>
          <w:szCs w:val="22"/>
        </w:rPr>
      </w:pPr>
    </w:p>
    <w:p w:rsidR="00DC4E48" w:rsidRDefault="00DF3AA7" w:rsidP="00DC4E48">
      <w:pPr>
        <w:tabs>
          <w:tab w:val="left" w:pos="360"/>
        </w:tabs>
        <w:jc w:val="center"/>
        <w:rPr>
          <w:rFonts w:ascii="Arial" w:hAnsi="Arial" w:cs="Arial"/>
          <w:b/>
          <w:bCs/>
          <w:sz w:val="22"/>
          <w:szCs w:val="22"/>
        </w:rPr>
      </w:pPr>
      <w:r w:rsidRPr="00D96FD5">
        <w:rPr>
          <w:noProof/>
          <w:sz w:val="22"/>
          <w:szCs w:val="22"/>
        </w:rPr>
        <w:lastRenderedPageBreak/>
        <w:drawing>
          <wp:inline distT="0" distB="0" distL="0" distR="0">
            <wp:extent cx="5019675" cy="2737908"/>
            <wp:effectExtent l="19050" t="0" r="9525" b="24342"/>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6FD5" w:rsidRPr="00D96FD5" w:rsidRDefault="00D96FD5" w:rsidP="00DC4E48">
      <w:pPr>
        <w:tabs>
          <w:tab w:val="left" w:pos="360"/>
        </w:tabs>
        <w:jc w:val="center"/>
        <w:rPr>
          <w:rFonts w:ascii="Arial" w:hAnsi="Arial" w:cs="Arial"/>
          <w:b/>
          <w:bCs/>
          <w:sz w:val="22"/>
          <w:szCs w:val="22"/>
        </w:rPr>
      </w:pPr>
    </w:p>
    <w:p w:rsidR="00DC4E48" w:rsidRPr="00D96FD5" w:rsidRDefault="00DF3AA7" w:rsidP="00DC4E48">
      <w:pPr>
        <w:tabs>
          <w:tab w:val="left" w:pos="360"/>
        </w:tabs>
        <w:jc w:val="both"/>
        <w:rPr>
          <w:rFonts w:ascii="Arial" w:hAnsi="Arial" w:cs="Arial"/>
          <w:bCs/>
          <w:sz w:val="22"/>
          <w:szCs w:val="22"/>
          <w:lang w:val="es-CO"/>
        </w:rPr>
      </w:pPr>
      <w:r w:rsidRPr="00D96FD5">
        <w:rPr>
          <w:rFonts w:ascii="Arial" w:hAnsi="Arial" w:cs="Arial"/>
          <w:bCs/>
          <w:sz w:val="22"/>
          <w:szCs w:val="22"/>
        </w:rPr>
        <w:t>En el Segundo Semestre del 2014</w:t>
      </w:r>
      <w:r w:rsidR="00DC4E48" w:rsidRPr="00D96FD5">
        <w:rPr>
          <w:rFonts w:ascii="Arial" w:hAnsi="Arial" w:cs="Arial"/>
          <w:bCs/>
          <w:sz w:val="22"/>
          <w:szCs w:val="22"/>
        </w:rPr>
        <w:t xml:space="preserve"> </w:t>
      </w:r>
      <w:r w:rsidR="00DC4E48" w:rsidRPr="00D96FD5">
        <w:rPr>
          <w:rFonts w:ascii="Arial" w:hAnsi="Arial" w:cs="Arial"/>
          <w:bCs/>
          <w:sz w:val="22"/>
          <w:szCs w:val="22"/>
          <w:lang w:val="es-CO"/>
        </w:rPr>
        <w:t>se obtuvo una tasa promedio de</w:t>
      </w:r>
      <w:r w:rsidR="00DC4E48" w:rsidRPr="00D96FD5">
        <w:rPr>
          <w:rFonts w:ascii="Arial" w:hAnsi="Arial" w:cs="Arial"/>
          <w:b/>
          <w:bCs/>
          <w:sz w:val="22"/>
          <w:szCs w:val="22"/>
          <w:lang w:val="es-CO"/>
        </w:rPr>
        <w:t xml:space="preserve">  </w:t>
      </w:r>
      <w:r w:rsidRPr="00D96FD5">
        <w:rPr>
          <w:rFonts w:ascii="Arial" w:hAnsi="Arial" w:cs="Arial"/>
          <w:b/>
          <w:bCs/>
          <w:sz w:val="22"/>
          <w:szCs w:val="22"/>
          <w:lang w:val="es-CO"/>
        </w:rPr>
        <w:t>3,98</w:t>
      </w:r>
      <w:r w:rsidR="00DC4E48" w:rsidRPr="00D96FD5">
        <w:rPr>
          <w:rFonts w:ascii="Arial" w:hAnsi="Arial" w:cs="Arial"/>
          <w:b/>
          <w:bCs/>
          <w:sz w:val="22"/>
          <w:szCs w:val="22"/>
          <w:lang w:val="es-CO"/>
        </w:rPr>
        <w:t>%</w:t>
      </w:r>
      <w:r w:rsidR="00DC4E48" w:rsidRPr="00D96FD5">
        <w:rPr>
          <w:rFonts w:ascii="Arial" w:hAnsi="Arial" w:cs="Arial"/>
          <w:bCs/>
          <w:sz w:val="22"/>
          <w:szCs w:val="22"/>
          <w:lang w:val="es-CO"/>
        </w:rPr>
        <w:t xml:space="preserve"> en las cuentas de ahorro que tiene el IDESAN en los diferentes bancos, se observa una tendencia a descender, comparativamente con las tasas que ofrecía el mercado</w:t>
      </w:r>
    </w:p>
    <w:p w:rsidR="00DC4E48" w:rsidRPr="00D96FD5" w:rsidRDefault="00DC4E48" w:rsidP="00DC4E48">
      <w:pPr>
        <w:tabs>
          <w:tab w:val="left" w:pos="360"/>
        </w:tabs>
        <w:jc w:val="both"/>
        <w:rPr>
          <w:rFonts w:ascii="Arial" w:hAnsi="Arial" w:cs="Arial"/>
          <w:b/>
          <w:bCs/>
          <w:sz w:val="22"/>
          <w:szCs w:val="22"/>
        </w:rPr>
      </w:pPr>
    </w:p>
    <w:p w:rsidR="00DC4E48" w:rsidRPr="00D96FD5" w:rsidRDefault="00DC4E48" w:rsidP="00DC4E48">
      <w:pPr>
        <w:tabs>
          <w:tab w:val="left" w:pos="360"/>
        </w:tabs>
        <w:jc w:val="both"/>
        <w:rPr>
          <w:rFonts w:ascii="Arial" w:hAnsi="Arial" w:cs="Arial"/>
          <w:b/>
          <w:bCs/>
          <w:sz w:val="22"/>
          <w:szCs w:val="22"/>
        </w:rPr>
      </w:pPr>
      <w:r w:rsidRPr="00D96FD5">
        <w:rPr>
          <w:rFonts w:ascii="Arial" w:hAnsi="Arial" w:cs="Arial"/>
          <w:b/>
          <w:bCs/>
          <w:sz w:val="22"/>
          <w:szCs w:val="22"/>
        </w:rPr>
        <w:t>% Tasa Promedio de rendimiento de los CDT’s a 90 días, que tiene el Idesan activos en las diferentes entidades financieras.</w:t>
      </w:r>
    </w:p>
    <w:p w:rsidR="00DC4E48" w:rsidRPr="00D96FD5" w:rsidRDefault="00DC4E48" w:rsidP="00DC4E48">
      <w:pPr>
        <w:tabs>
          <w:tab w:val="left" w:pos="360"/>
        </w:tabs>
        <w:jc w:val="both"/>
        <w:rPr>
          <w:rFonts w:ascii="Arial" w:hAnsi="Arial" w:cs="Arial"/>
          <w:b/>
          <w:bCs/>
          <w:sz w:val="22"/>
          <w:szCs w:val="22"/>
        </w:rPr>
      </w:pPr>
    </w:p>
    <w:p w:rsidR="00DC4E48" w:rsidRPr="00D96FD5" w:rsidRDefault="00DF3AA7" w:rsidP="00DC4E48">
      <w:pPr>
        <w:tabs>
          <w:tab w:val="left" w:pos="360"/>
        </w:tabs>
        <w:jc w:val="center"/>
        <w:rPr>
          <w:rFonts w:ascii="Arial" w:hAnsi="Arial" w:cs="Arial"/>
          <w:b/>
          <w:bCs/>
          <w:sz w:val="22"/>
          <w:szCs w:val="22"/>
        </w:rPr>
      </w:pPr>
      <w:r w:rsidRPr="00D96FD5">
        <w:rPr>
          <w:noProof/>
          <w:sz w:val="22"/>
          <w:szCs w:val="22"/>
        </w:rPr>
        <w:drawing>
          <wp:inline distT="0" distB="0" distL="0" distR="0">
            <wp:extent cx="5019675" cy="2737908"/>
            <wp:effectExtent l="19050" t="0" r="9525" b="24342"/>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4E48" w:rsidRPr="00D96FD5" w:rsidRDefault="00DC4E48" w:rsidP="00DC4E48">
      <w:pPr>
        <w:jc w:val="both"/>
        <w:rPr>
          <w:rFonts w:ascii="Arial" w:hAnsi="Arial" w:cs="Arial"/>
          <w:bCs/>
          <w:sz w:val="22"/>
          <w:szCs w:val="22"/>
          <w:lang w:val="es-CO"/>
        </w:rPr>
      </w:pPr>
    </w:p>
    <w:p w:rsidR="00DC4E48" w:rsidRPr="00D96FD5" w:rsidRDefault="00DC4E48" w:rsidP="00DC4E48">
      <w:pPr>
        <w:jc w:val="both"/>
        <w:rPr>
          <w:rFonts w:ascii="Arial" w:hAnsi="Arial" w:cs="Arial"/>
          <w:bCs/>
          <w:sz w:val="22"/>
          <w:szCs w:val="22"/>
          <w:lang w:val="es-CO"/>
        </w:rPr>
      </w:pPr>
      <w:r w:rsidRPr="00D96FD5">
        <w:rPr>
          <w:rFonts w:ascii="Arial" w:hAnsi="Arial" w:cs="Arial"/>
          <w:bCs/>
          <w:sz w:val="22"/>
          <w:szCs w:val="22"/>
          <w:lang w:val="es-CO"/>
        </w:rPr>
        <w:t xml:space="preserve">Al cierre de del segundo semestre del año se observa una tasa promedio de rendimiento de las inversiones en CDT's  a 90 días se logro un promedio de </w:t>
      </w:r>
      <w:r w:rsidR="00DF3AA7" w:rsidRPr="00D96FD5">
        <w:rPr>
          <w:rFonts w:ascii="Arial" w:hAnsi="Arial" w:cs="Arial"/>
          <w:bCs/>
          <w:sz w:val="22"/>
          <w:szCs w:val="22"/>
          <w:lang w:val="es-CO"/>
        </w:rPr>
        <w:t>4,56</w:t>
      </w:r>
      <w:r w:rsidRPr="00D96FD5">
        <w:rPr>
          <w:rFonts w:ascii="Arial" w:hAnsi="Arial" w:cs="Arial"/>
          <w:bCs/>
          <w:sz w:val="22"/>
          <w:szCs w:val="22"/>
          <w:lang w:val="es-CO"/>
        </w:rPr>
        <w:t xml:space="preserve">% comparativamente con las tasas que ofrecía el mercado. </w:t>
      </w:r>
    </w:p>
    <w:p w:rsidR="00D80C6F" w:rsidRDefault="00D80C6F" w:rsidP="002B7266">
      <w:pPr>
        <w:jc w:val="both"/>
        <w:rPr>
          <w:rFonts w:ascii="Arial" w:hAnsi="Arial" w:cs="Arial"/>
          <w:b/>
          <w:sz w:val="22"/>
          <w:szCs w:val="22"/>
        </w:rPr>
      </w:pPr>
    </w:p>
    <w:p w:rsidR="00DF3AA7" w:rsidRDefault="00DF3AA7" w:rsidP="002B7266">
      <w:pPr>
        <w:jc w:val="both"/>
        <w:rPr>
          <w:rFonts w:ascii="Arial" w:hAnsi="Arial" w:cs="Arial"/>
          <w:b/>
          <w:sz w:val="22"/>
          <w:szCs w:val="22"/>
        </w:rPr>
      </w:pPr>
      <w:r>
        <w:rPr>
          <w:rFonts w:ascii="Arial" w:hAnsi="Arial" w:cs="Arial"/>
          <w:b/>
          <w:sz w:val="22"/>
          <w:szCs w:val="22"/>
        </w:rPr>
        <w:br w:type="page"/>
      </w:r>
    </w:p>
    <w:p w:rsidR="00DF3AA7" w:rsidRDefault="00DF3AA7" w:rsidP="00DF3AA7">
      <w:pPr>
        <w:pStyle w:val="Ttulo7"/>
      </w:pPr>
      <w:r w:rsidRPr="0073322A">
        <w:lastRenderedPageBreak/>
        <w:t>Se procedió a realizar la revisión del desempeño de los procesos DE APOYO O SOPORTE DEL INSTITUTO.</w:t>
      </w:r>
    </w:p>
    <w:p w:rsidR="00DF3AA7" w:rsidRPr="0074189D" w:rsidRDefault="00DF3AA7" w:rsidP="00DF3AA7"/>
    <w:p w:rsidR="00DF3AA7" w:rsidRPr="0073322A" w:rsidRDefault="00DF3AA7" w:rsidP="00DF3AA7">
      <w:pPr>
        <w:jc w:val="both"/>
        <w:rPr>
          <w:rFonts w:ascii="Arial" w:hAnsi="Arial" w:cs="Arial"/>
          <w:b/>
          <w:bCs/>
          <w:color w:val="008000"/>
        </w:rPr>
      </w:pPr>
      <w:r>
        <w:rPr>
          <w:rFonts w:ascii="Arial" w:hAnsi="Arial" w:cs="Arial"/>
          <w:b/>
          <w:bCs/>
          <w:color w:val="008000"/>
        </w:rPr>
        <w:t>4</w:t>
      </w:r>
      <w:r w:rsidRPr="0073322A">
        <w:rPr>
          <w:rFonts w:ascii="Arial" w:hAnsi="Arial" w:cs="Arial"/>
          <w:b/>
          <w:bCs/>
          <w:color w:val="008000"/>
        </w:rPr>
        <w:t>.5  PROCESO GESTION DE LA CONTABILIDAD</w:t>
      </w:r>
    </w:p>
    <w:p w:rsidR="00DF3AA7" w:rsidRPr="0073322A" w:rsidRDefault="00DF3AA7" w:rsidP="00DF3AA7">
      <w:pPr>
        <w:jc w:val="both"/>
        <w:rPr>
          <w:rFonts w:ascii="Arial" w:hAnsi="Arial" w:cs="Arial"/>
          <w:b/>
          <w:bCs/>
        </w:rPr>
      </w:pPr>
    </w:p>
    <w:p w:rsidR="00DF3AA7" w:rsidRPr="0073322A" w:rsidRDefault="00DF3AA7" w:rsidP="00DF3AA7">
      <w:pPr>
        <w:jc w:val="both"/>
        <w:rPr>
          <w:rFonts w:ascii="Arial" w:hAnsi="Arial" w:cs="Arial"/>
        </w:rPr>
      </w:pPr>
      <w:r>
        <w:rPr>
          <w:rFonts w:ascii="Arial" w:hAnsi="Arial" w:cs="Arial"/>
        </w:rPr>
        <w:t xml:space="preserve">El Doctor Andrés Solano Aguilar, </w:t>
      </w:r>
      <w:r w:rsidRPr="0073322A">
        <w:rPr>
          <w:rFonts w:ascii="Arial" w:hAnsi="Arial" w:cs="Arial"/>
        </w:rPr>
        <w:t xml:space="preserve">hizo la presentación de los indicadores de Gestión de su proceso así: </w:t>
      </w:r>
    </w:p>
    <w:p w:rsidR="00DF3AA7" w:rsidRDefault="00DF3AA7" w:rsidP="00DF3AA7">
      <w:pPr>
        <w:jc w:val="both"/>
        <w:rPr>
          <w:rFonts w:ascii="Arial" w:hAnsi="Arial" w:cs="Arial"/>
          <w:b/>
          <w:bCs/>
        </w:rPr>
      </w:pPr>
    </w:p>
    <w:p w:rsidR="00DF3AA7" w:rsidRPr="0073322A" w:rsidRDefault="00DF3AA7" w:rsidP="00DF3AA7">
      <w:pPr>
        <w:jc w:val="both"/>
        <w:rPr>
          <w:rFonts w:ascii="Arial" w:hAnsi="Arial" w:cs="Arial"/>
          <w:b/>
          <w:bCs/>
        </w:rPr>
      </w:pPr>
      <w:r w:rsidRPr="0073322A">
        <w:rPr>
          <w:rFonts w:ascii="Arial" w:hAnsi="Arial" w:cs="Arial"/>
          <w:b/>
          <w:bCs/>
        </w:rPr>
        <w:t>Indicadores De Rentabilidad:</w:t>
      </w:r>
    </w:p>
    <w:p w:rsidR="00DF3AA7" w:rsidRPr="0073322A" w:rsidRDefault="00DF3AA7" w:rsidP="00DF3AA7">
      <w:pPr>
        <w:jc w:val="both"/>
        <w:rPr>
          <w:bCs/>
        </w:rPr>
      </w:pPr>
    </w:p>
    <w:p w:rsidR="00DF3AA7" w:rsidRPr="0073322A" w:rsidRDefault="00DF3AA7" w:rsidP="00DF3AA7">
      <w:pPr>
        <w:numPr>
          <w:ilvl w:val="1"/>
          <w:numId w:val="6"/>
        </w:numPr>
        <w:jc w:val="both"/>
        <w:rPr>
          <w:rFonts w:ascii="Arial" w:hAnsi="Arial" w:cs="Arial"/>
          <w:bCs/>
        </w:rPr>
      </w:pPr>
      <w:r w:rsidRPr="0073322A">
        <w:rPr>
          <w:rFonts w:ascii="Arial" w:hAnsi="Arial" w:cs="Arial"/>
          <w:bCs/>
        </w:rPr>
        <w:t>INGRESO NETO DE INTERÉS / TOTAL ACTIVOS.</w:t>
      </w:r>
    </w:p>
    <w:p w:rsidR="00DF3AA7" w:rsidRPr="0073322A" w:rsidRDefault="00DF3AA7" w:rsidP="00DF3AA7">
      <w:pPr>
        <w:numPr>
          <w:ilvl w:val="1"/>
          <w:numId w:val="6"/>
        </w:numPr>
        <w:jc w:val="both"/>
        <w:rPr>
          <w:rFonts w:ascii="Arial" w:hAnsi="Arial" w:cs="Arial"/>
          <w:bCs/>
        </w:rPr>
      </w:pPr>
      <w:r w:rsidRPr="0073322A">
        <w:rPr>
          <w:rFonts w:ascii="Arial" w:hAnsi="Arial" w:cs="Arial"/>
          <w:bCs/>
        </w:rPr>
        <w:t>GASTOS OPERACIONALES / TOTAL ACTIVOS:</w:t>
      </w:r>
    </w:p>
    <w:p w:rsidR="00DF3AA7" w:rsidRPr="0073322A" w:rsidRDefault="00DF3AA7" w:rsidP="00DF3AA7">
      <w:pPr>
        <w:numPr>
          <w:ilvl w:val="1"/>
          <w:numId w:val="6"/>
        </w:numPr>
        <w:jc w:val="both"/>
        <w:rPr>
          <w:bCs/>
        </w:rPr>
      </w:pPr>
      <w:r w:rsidRPr="0073322A">
        <w:rPr>
          <w:rFonts w:ascii="Arial" w:hAnsi="Arial" w:cs="Arial"/>
          <w:bCs/>
        </w:rPr>
        <w:t>UTILIDAD OPERACIONAL / INGRESOS</w:t>
      </w:r>
    </w:p>
    <w:p w:rsidR="00DF3AA7" w:rsidRPr="0073322A" w:rsidRDefault="00DF3AA7" w:rsidP="00DF3AA7">
      <w:pPr>
        <w:numPr>
          <w:ilvl w:val="1"/>
          <w:numId w:val="6"/>
        </w:numPr>
        <w:jc w:val="both"/>
        <w:rPr>
          <w:rFonts w:ascii="Arial" w:hAnsi="Arial" w:cs="Arial"/>
          <w:bCs/>
        </w:rPr>
      </w:pPr>
      <w:r w:rsidRPr="0073322A">
        <w:rPr>
          <w:rFonts w:ascii="Arial" w:hAnsi="Arial" w:cs="Arial"/>
          <w:bCs/>
        </w:rPr>
        <w:t>UTILIDAD NETA/ PATRIMONIO (ROE)</w:t>
      </w:r>
    </w:p>
    <w:p w:rsidR="00DF3AA7" w:rsidRPr="0073322A" w:rsidRDefault="00DF3AA7" w:rsidP="00DF3AA7">
      <w:pPr>
        <w:numPr>
          <w:ilvl w:val="1"/>
          <w:numId w:val="6"/>
        </w:numPr>
        <w:jc w:val="both"/>
        <w:rPr>
          <w:rFonts w:ascii="Arial" w:hAnsi="Arial" w:cs="Arial"/>
          <w:bCs/>
        </w:rPr>
      </w:pPr>
      <w:r w:rsidRPr="0073322A">
        <w:rPr>
          <w:rFonts w:ascii="Arial" w:hAnsi="Arial" w:cs="Arial"/>
          <w:bCs/>
        </w:rPr>
        <w:t>UTILIDAD NETA TOTAL ACTIVOS (ROA)</w:t>
      </w:r>
    </w:p>
    <w:p w:rsidR="00DF3AA7" w:rsidRPr="0073322A" w:rsidRDefault="00DF3AA7" w:rsidP="00DF3AA7">
      <w:pPr>
        <w:numPr>
          <w:ilvl w:val="1"/>
          <w:numId w:val="6"/>
        </w:numPr>
        <w:jc w:val="both"/>
        <w:rPr>
          <w:rFonts w:ascii="Arial" w:hAnsi="Arial" w:cs="Arial"/>
          <w:bCs/>
        </w:rPr>
      </w:pPr>
      <w:r w:rsidRPr="0073322A">
        <w:rPr>
          <w:rFonts w:ascii="Arial" w:hAnsi="Arial" w:cs="Arial"/>
          <w:bCs/>
        </w:rPr>
        <w:t>MARGEN NETO DE INTERES</w:t>
      </w:r>
    </w:p>
    <w:p w:rsidR="00DF3AA7" w:rsidRDefault="00DF3AA7" w:rsidP="00DF3AA7">
      <w:pPr>
        <w:ind w:left="1080"/>
        <w:jc w:val="both"/>
        <w:rPr>
          <w:rFonts w:ascii="Arial" w:hAnsi="Arial" w:cs="Arial"/>
          <w:bCs/>
          <w:sz w:val="16"/>
          <w:szCs w:val="18"/>
        </w:rPr>
      </w:pPr>
    </w:p>
    <w:p w:rsidR="00DF3AA7" w:rsidRDefault="00DF3AA7" w:rsidP="00DF3AA7">
      <w:pPr>
        <w:jc w:val="both"/>
        <w:rPr>
          <w:noProof/>
          <w:lang w:eastAsia="en-US"/>
        </w:rPr>
      </w:pPr>
      <w:r w:rsidRPr="0029144A">
        <w:rPr>
          <w:noProof/>
          <w:lang w:eastAsia="en-US"/>
        </w:rPr>
        <w:t xml:space="preserve">    </w:t>
      </w:r>
      <w:r>
        <w:t xml:space="preserve">     </w:t>
      </w:r>
      <w:r w:rsidRPr="0029144A">
        <w:rPr>
          <w:noProof/>
          <w:lang w:eastAsia="en-US"/>
        </w:rPr>
        <w:t xml:space="preserve"> </w:t>
      </w:r>
      <w:r>
        <w:rPr>
          <w:noProof/>
          <w:lang w:eastAsia="en-US"/>
        </w:rPr>
        <w:t xml:space="preserve"> </w:t>
      </w:r>
    </w:p>
    <w:p w:rsidR="003A6327" w:rsidRDefault="003A6327" w:rsidP="00DF3AA7">
      <w:pPr>
        <w:jc w:val="both"/>
        <w:rPr>
          <w:noProof/>
          <w:lang w:eastAsia="en-US"/>
        </w:rPr>
      </w:pPr>
      <w:r>
        <w:rPr>
          <w:noProof/>
        </w:rPr>
        <w:drawing>
          <wp:inline distT="0" distB="0" distL="0" distR="0">
            <wp:extent cx="2515235" cy="17145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extent cx="2512612" cy="1677725"/>
            <wp:effectExtent l="19050" t="0" r="21038" b="177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36AAC" w:rsidRDefault="00236AAC" w:rsidP="00DF3AA7">
      <w:pPr>
        <w:jc w:val="both"/>
        <w:rPr>
          <w:noProof/>
          <w:lang w:eastAsia="en-US"/>
        </w:rPr>
      </w:pPr>
    </w:p>
    <w:p w:rsidR="00DF3AA7" w:rsidRPr="003A6327" w:rsidRDefault="003A6327" w:rsidP="00DF3AA7">
      <w:pPr>
        <w:jc w:val="both"/>
        <w:rPr>
          <w:noProof/>
          <w:lang w:eastAsia="en-US"/>
        </w:rPr>
      </w:pPr>
      <w:r>
        <w:rPr>
          <w:noProof/>
        </w:rPr>
        <w:drawing>
          <wp:inline distT="0" distB="0" distL="0" distR="0">
            <wp:extent cx="2515235" cy="1699895"/>
            <wp:effectExtent l="0" t="0" r="0" b="190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extent cx="2512612" cy="1661823"/>
            <wp:effectExtent l="19050" t="0" r="21038" b="14577"/>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6327" w:rsidRDefault="003A6327" w:rsidP="00DF3AA7">
      <w:pPr>
        <w:jc w:val="both"/>
        <w:rPr>
          <w:szCs w:val="18"/>
        </w:rPr>
      </w:pPr>
    </w:p>
    <w:p w:rsidR="003A6327" w:rsidRDefault="003A6327" w:rsidP="00DF3AA7">
      <w:pPr>
        <w:jc w:val="both"/>
        <w:rPr>
          <w:szCs w:val="18"/>
        </w:rPr>
      </w:pPr>
      <w:r>
        <w:rPr>
          <w:noProof/>
        </w:rPr>
        <w:drawing>
          <wp:inline distT="0" distB="0" distL="0" distR="0">
            <wp:extent cx="2528267" cy="1638963"/>
            <wp:effectExtent l="19050" t="0" r="24433" b="18387"/>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extent cx="2475754" cy="1637969"/>
            <wp:effectExtent l="19050" t="0" r="19796" b="19381"/>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3AA7" w:rsidRDefault="00DF3AA7" w:rsidP="00DF3AA7">
      <w:pPr>
        <w:jc w:val="both"/>
        <w:rPr>
          <w:szCs w:val="18"/>
        </w:rPr>
      </w:pPr>
    </w:p>
    <w:p w:rsidR="00236AAC" w:rsidRPr="00236AAC" w:rsidRDefault="00236AAC" w:rsidP="00236AAC">
      <w:pPr>
        <w:jc w:val="both"/>
        <w:rPr>
          <w:rFonts w:ascii="Arial" w:hAnsi="Arial" w:cs="Arial"/>
          <w:bCs/>
          <w:sz w:val="22"/>
          <w:szCs w:val="22"/>
        </w:rPr>
      </w:pPr>
      <w:r w:rsidRPr="00236AAC">
        <w:rPr>
          <w:rFonts w:ascii="Arial" w:hAnsi="Arial" w:cs="Arial"/>
          <w:bCs/>
          <w:sz w:val="22"/>
          <w:szCs w:val="22"/>
        </w:rPr>
        <w:t xml:space="preserve">En cuanto a los indicadores financieros de rentabilidad se observa  un  crecimiento, como lo podemos  verificar al analizar el comportamiento del ROE y ROA. Teniendo en cuenta que  El ROE nos muestra la rentabilidad de la inversión; este indicador  registra un porcentaje  para  dic del 2014 del  (3.22%)  siendo superior al reflejado en </w:t>
      </w:r>
      <w:r w:rsidRPr="00236AAC">
        <w:rPr>
          <w:rFonts w:ascii="Arial" w:hAnsi="Arial" w:cs="Arial"/>
          <w:bCs/>
          <w:sz w:val="22"/>
          <w:szCs w:val="22"/>
        </w:rPr>
        <w:lastRenderedPageBreak/>
        <w:t>Dic de 2013 (1.62%), y el ROA  que es el rendimiento sobre la inversión registra un porcentaje del (0.74%) siendo superior al reflejado en Dic del 2013  es decir (0.41%). Este importante crecimiento es producto del incremento en los ingresos operacionales que presenta un aumento del 17.06% respecto al año anterior en la operaciones de colocación y servicios financieros.</w:t>
      </w:r>
    </w:p>
    <w:p w:rsidR="00236AAC" w:rsidRPr="00236AAC" w:rsidRDefault="00236AAC" w:rsidP="00236AAC">
      <w:pPr>
        <w:jc w:val="both"/>
        <w:rPr>
          <w:rFonts w:ascii="Arial" w:hAnsi="Arial" w:cs="Arial"/>
          <w:bCs/>
          <w:sz w:val="22"/>
          <w:szCs w:val="22"/>
        </w:rPr>
      </w:pPr>
    </w:p>
    <w:p w:rsidR="00236AAC" w:rsidRPr="00236AAC" w:rsidRDefault="00236AAC" w:rsidP="00236AAC">
      <w:pPr>
        <w:jc w:val="both"/>
        <w:rPr>
          <w:rFonts w:ascii="Arial" w:hAnsi="Arial" w:cs="Arial"/>
          <w:bCs/>
          <w:sz w:val="22"/>
          <w:szCs w:val="22"/>
        </w:rPr>
      </w:pPr>
      <w:r w:rsidRPr="00236AAC">
        <w:rPr>
          <w:rFonts w:ascii="Arial" w:hAnsi="Arial" w:cs="Arial"/>
          <w:bCs/>
          <w:sz w:val="22"/>
          <w:szCs w:val="22"/>
        </w:rPr>
        <w:t>Los Costos generados por las operaciones de captación  con corte a Dic de 2.014  disminuyeron en un -4.74%, representado en la suma de $-51.003.323,95, producto de la disminución en las captaciones.   Este resultado  obedece a que las tasas de intereses ofrecidas en sector financiero son mas atractivas que las ofrecidas por el IDESAN, al poco apoyo de la Gobernación, ya que no se ha logrado que los excedentes de Tesorería y los que los convenios del Departamento de Santander y sus Entidades Descentralizadas prioritariamente sean administrados por el IDESAN y a la calificación obtenida.</w:t>
      </w:r>
    </w:p>
    <w:p w:rsidR="00236AAC" w:rsidRPr="00236AAC" w:rsidRDefault="00236AAC" w:rsidP="00236AAC">
      <w:pPr>
        <w:jc w:val="both"/>
        <w:rPr>
          <w:rFonts w:ascii="Arial" w:hAnsi="Arial" w:cs="Arial"/>
          <w:bCs/>
          <w:sz w:val="22"/>
          <w:szCs w:val="22"/>
        </w:rPr>
      </w:pPr>
    </w:p>
    <w:p w:rsidR="00236AAC" w:rsidRPr="00236AAC" w:rsidRDefault="00236AAC" w:rsidP="00236AAC">
      <w:pPr>
        <w:jc w:val="both"/>
        <w:rPr>
          <w:rFonts w:ascii="Arial" w:hAnsi="Arial" w:cs="Arial"/>
          <w:bCs/>
          <w:sz w:val="22"/>
          <w:szCs w:val="22"/>
        </w:rPr>
      </w:pPr>
      <w:r w:rsidRPr="00236AAC">
        <w:rPr>
          <w:rFonts w:ascii="Arial" w:hAnsi="Arial" w:cs="Arial"/>
          <w:bCs/>
          <w:sz w:val="22"/>
          <w:szCs w:val="22"/>
        </w:rPr>
        <w:t xml:space="preserve">Los gastos operaciones presentaron un aumento del 20.53% ($ 533.588.960), debido a que  los gastos administrativos a Dic. 2.014, registraron un incremento  del 28.80%, ($662.864.637), respecto a Dic. de 2013, debido a la contratación del personal de apoyo requerido para ejercer las labores exigidas por la súper financiera y apoyar las labores de las diferentes dependencia, los gastos por concepto de provisión depreciación y amortización presentan un decremento, representado especialmente  por la recuperación de cartera morosa </w:t>
      </w:r>
    </w:p>
    <w:p w:rsidR="00236AAC" w:rsidRPr="00236AAC" w:rsidRDefault="00236AAC" w:rsidP="00236AAC">
      <w:pPr>
        <w:jc w:val="both"/>
        <w:rPr>
          <w:rFonts w:ascii="Arial" w:hAnsi="Arial" w:cs="Arial"/>
          <w:bCs/>
          <w:sz w:val="22"/>
          <w:szCs w:val="22"/>
        </w:rPr>
      </w:pPr>
    </w:p>
    <w:p w:rsidR="00236AAC" w:rsidRPr="00236AAC" w:rsidRDefault="00236AAC" w:rsidP="00236AAC">
      <w:pPr>
        <w:jc w:val="both"/>
        <w:rPr>
          <w:rFonts w:ascii="Arial" w:hAnsi="Arial" w:cs="Arial"/>
          <w:bCs/>
          <w:sz w:val="22"/>
          <w:szCs w:val="22"/>
        </w:rPr>
      </w:pPr>
      <w:r w:rsidRPr="00236AAC">
        <w:rPr>
          <w:rFonts w:ascii="Arial" w:hAnsi="Arial" w:cs="Arial"/>
          <w:bCs/>
          <w:sz w:val="22"/>
          <w:szCs w:val="22"/>
        </w:rPr>
        <w:t xml:space="preserve">La mayor colocación de recursos sumado a la tasa de interés presentaron importantes crecimiento en el margen operacional y neto. </w:t>
      </w:r>
    </w:p>
    <w:p w:rsidR="00236AAC" w:rsidRPr="00236AAC" w:rsidRDefault="00236AAC" w:rsidP="00236AAC">
      <w:pPr>
        <w:jc w:val="both"/>
        <w:rPr>
          <w:rFonts w:ascii="Arial" w:hAnsi="Arial" w:cs="Arial"/>
          <w:bCs/>
          <w:sz w:val="22"/>
          <w:szCs w:val="22"/>
        </w:rPr>
      </w:pPr>
      <w:r w:rsidRPr="00236AAC">
        <w:rPr>
          <w:rFonts w:ascii="Arial" w:hAnsi="Arial" w:cs="Arial"/>
          <w:bCs/>
          <w:sz w:val="22"/>
          <w:szCs w:val="22"/>
        </w:rPr>
        <w:t>La excelente labor realizado por todo el equipo del IDESAN y el compromiso de todos, se ve reflejado en los resultados arrojados; en cual se demuestra que el excedente o utilidad  del ejercicio a dic. de 2.014 se incrementó en un 101.04% ( $ 309.170.779) respecto a dic de 2.013.  Para este periodo la estrategia comercial del Instituto, además de incluir visitas a las nuevas administraciones de los municipios del Departamento, han generado mayor conocimiento y recordación del portafolio de productos de la Entidad dentro del mercado objetivo. Otro factor importante para estos resultados es el logro de acuerdos de pagos  de la  cartera ya que se realiza un seguimiento continuo  a los diferentes clientes de la entidad, logrando compromisos que conllevan a estabilizar los pagos de algunas entidades que presentan dificultades financieras.</w:t>
      </w:r>
    </w:p>
    <w:p w:rsidR="00236AAC" w:rsidRPr="00236AAC" w:rsidRDefault="00236AAC" w:rsidP="00236AAC">
      <w:pPr>
        <w:jc w:val="both"/>
        <w:rPr>
          <w:rFonts w:ascii="Arial" w:hAnsi="Arial" w:cs="Arial"/>
          <w:bCs/>
          <w:sz w:val="22"/>
          <w:szCs w:val="22"/>
        </w:rPr>
      </w:pPr>
      <w:r w:rsidRPr="00236AAC">
        <w:rPr>
          <w:rFonts w:ascii="Arial" w:hAnsi="Arial" w:cs="Arial"/>
          <w:bCs/>
          <w:sz w:val="22"/>
          <w:szCs w:val="22"/>
        </w:rPr>
        <w:t xml:space="preserve">Otro factor adicional que influyo en el comportamiento de los indicadores de rentabilidad es la disminución de las provisiones de cartera de créditos. </w:t>
      </w:r>
    </w:p>
    <w:p w:rsidR="00236AAC" w:rsidRDefault="00236AAC" w:rsidP="00236AAC">
      <w:pPr>
        <w:jc w:val="both"/>
        <w:rPr>
          <w:rFonts w:ascii="Arial" w:hAnsi="Arial" w:cs="Arial"/>
          <w:b/>
          <w:bCs/>
        </w:rPr>
      </w:pPr>
      <w:r w:rsidRPr="00236AAC">
        <w:rPr>
          <w:rFonts w:ascii="Arial" w:hAnsi="Arial" w:cs="Arial"/>
          <w:bCs/>
          <w:sz w:val="22"/>
          <w:szCs w:val="22"/>
        </w:rPr>
        <w:t>Se espera que se continúe con los buenos resultados que hasta el momento presenta los estados financieros del IDESAN</w:t>
      </w:r>
    </w:p>
    <w:p w:rsidR="00236AAC" w:rsidRDefault="00236AAC" w:rsidP="00DF3AA7">
      <w:pPr>
        <w:jc w:val="both"/>
        <w:rPr>
          <w:rFonts w:ascii="Arial" w:hAnsi="Arial" w:cs="Arial"/>
          <w:b/>
          <w:bCs/>
        </w:rPr>
      </w:pPr>
    </w:p>
    <w:p w:rsidR="00236AAC" w:rsidRDefault="00236AAC" w:rsidP="00DF3AA7">
      <w:pPr>
        <w:jc w:val="both"/>
        <w:rPr>
          <w:rFonts w:ascii="Arial" w:hAnsi="Arial" w:cs="Arial"/>
          <w:b/>
          <w:bCs/>
        </w:rPr>
      </w:pPr>
    </w:p>
    <w:p w:rsidR="00DF3AA7" w:rsidRPr="00C513D9" w:rsidRDefault="00DF3AA7" w:rsidP="00DF3AA7">
      <w:pPr>
        <w:jc w:val="both"/>
        <w:rPr>
          <w:rFonts w:ascii="Arial" w:hAnsi="Arial" w:cs="Arial"/>
          <w:b/>
          <w:bCs/>
        </w:rPr>
      </w:pPr>
      <w:r w:rsidRPr="00C513D9">
        <w:rPr>
          <w:rFonts w:ascii="Arial" w:hAnsi="Arial" w:cs="Arial"/>
          <w:b/>
          <w:bCs/>
        </w:rPr>
        <w:t>Indicadores De Liquidez:</w:t>
      </w:r>
    </w:p>
    <w:p w:rsidR="00DF3AA7" w:rsidRPr="00C513D9" w:rsidRDefault="00DF3AA7" w:rsidP="00DF3AA7">
      <w:pPr>
        <w:jc w:val="both"/>
        <w:rPr>
          <w:rFonts w:ascii="Arial" w:hAnsi="Arial" w:cs="Arial"/>
          <w:bCs/>
        </w:rPr>
      </w:pPr>
    </w:p>
    <w:p w:rsidR="00DF3AA7" w:rsidRPr="00C513D9" w:rsidRDefault="00DF3AA7" w:rsidP="00DF3AA7">
      <w:pPr>
        <w:numPr>
          <w:ilvl w:val="1"/>
          <w:numId w:val="6"/>
        </w:numPr>
        <w:jc w:val="both"/>
        <w:rPr>
          <w:rFonts w:ascii="Arial" w:hAnsi="Arial" w:cs="Arial"/>
          <w:bCs/>
        </w:rPr>
      </w:pPr>
      <w:r w:rsidRPr="00C513D9">
        <w:rPr>
          <w:rFonts w:ascii="Arial" w:hAnsi="Arial" w:cs="Arial"/>
          <w:bCs/>
        </w:rPr>
        <w:t>ACTIVO LIQUIDO / ACTIVO TOTAL</w:t>
      </w:r>
    </w:p>
    <w:p w:rsidR="00DF3AA7" w:rsidRPr="00C513D9" w:rsidRDefault="00DF3AA7" w:rsidP="00DF3AA7">
      <w:pPr>
        <w:numPr>
          <w:ilvl w:val="1"/>
          <w:numId w:val="6"/>
        </w:numPr>
        <w:jc w:val="both"/>
        <w:rPr>
          <w:rFonts w:ascii="Arial" w:hAnsi="Arial" w:cs="Arial"/>
          <w:bCs/>
        </w:rPr>
      </w:pPr>
      <w:r w:rsidRPr="00C513D9">
        <w:rPr>
          <w:rFonts w:ascii="Arial" w:hAnsi="Arial" w:cs="Arial"/>
          <w:bCs/>
        </w:rPr>
        <w:t>ACTIVO LIQUIDI / DEPOSITOS Y EXIGIBILIDADES:</w:t>
      </w:r>
    </w:p>
    <w:p w:rsidR="00DF3AA7" w:rsidRPr="00C513D9" w:rsidRDefault="00DF3AA7" w:rsidP="00DF3AA7">
      <w:pPr>
        <w:numPr>
          <w:ilvl w:val="1"/>
          <w:numId w:val="6"/>
        </w:numPr>
        <w:jc w:val="both"/>
        <w:rPr>
          <w:rFonts w:ascii="Arial" w:hAnsi="Arial" w:cs="Arial"/>
          <w:bCs/>
        </w:rPr>
      </w:pPr>
      <w:r w:rsidRPr="00C513D9">
        <w:rPr>
          <w:rFonts w:ascii="Arial" w:hAnsi="Arial" w:cs="Arial"/>
        </w:rPr>
        <w:t>PORTAFOLIO DE CREDITO / DEPOSITOS Y EXIGIBILIDADES</w:t>
      </w:r>
    </w:p>
    <w:p w:rsidR="00DF3AA7" w:rsidRPr="00C513D9" w:rsidRDefault="00DF3AA7" w:rsidP="00DF3AA7">
      <w:pPr>
        <w:numPr>
          <w:ilvl w:val="1"/>
          <w:numId w:val="6"/>
        </w:numPr>
        <w:jc w:val="both"/>
        <w:rPr>
          <w:rFonts w:ascii="Arial" w:hAnsi="Arial" w:cs="Arial"/>
          <w:bCs/>
        </w:rPr>
      </w:pPr>
      <w:r w:rsidRPr="00C513D9">
        <w:rPr>
          <w:rFonts w:ascii="Arial" w:hAnsi="Arial" w:cs="Arial"/>
          <w:bCs/>
        </w:rPr>
        <w:t>CUENTAS DE AHORRO / PASIVO TOTAL</w:t>
      </w:r>
    </w:p>
    <w:p w:rsidR="00DF3AA7" w:rsidRPr="00C513D9" w:rsidRDefault="00DF3AA7" w:rsidP="00DF3AA7">
      <w:pPr>
        <w:numPr>
          <w:ilvl w:val="1"/>
          <w:numId w:val="6"/>
        </w:numPr>
        <w:jc w:val="both"/>
        <w:rPr>
          <w:rFonts w:ascii="Arial" w:hAnsi="Arial" w:cs="Arial"/>
          <w:bCs/>
        </w:rPr>
      </w:pPr>
      <w:r w:rsidRPr="00C513D9">
        <w:rPr>
          <w:rFonts w:ascii="Arial" w:hAnsi="Arial" w:cs="Arial"/>
          <w:bCs/>
        </w:rPr>
        <w:t>CDT´S / PASIVO TOTAL</w:t>
      </w:r>
    </w:p>
    <w:p w:rsidR="00DF3AA7" w:rsidRDefault="00236AAC" w:rsidP="00DF3AA7">
      <w:pPr>
        <w:numPr>
          <w:ilvl w:val="1"/>
          <w:numId w:val="6"/>
        </w:numPr>
        <w:jc w:val="both"/>
        <w:rPr>
          <w:rFonts w:ascii="Arial" w:hAnsi="Arial" w:cs="Arial"/>
          <w:bCs/>
        </w:rPr>
      </w:pPr>
      <w:r>
        <w:rPr>
          <w:rFonts w:ascii="Arial" w:hAnsi="Arial" w:cs="Arial"/>
          <w:bCs/>
        </w:rPr>
        <w:t>DEPOSITOS / CARTERA NETA</w:t>
      </w:r>
    </w:p>
    <w:p w:rsidR="00236AAC" w:rsidRPr="00C513D9" w:rsidRDefault="00236AAC" w:rsidP="00236AAC">
      <w:pPr>
        <w:ind w:left="1440"/>
        <w:jc w:val="both"/>
        <w:rPr>
          <w:rFonts w:ascii="Arial" w:hAnsi="Arial" w:cs="Arial"/>
          <w:bCs/>
        </w:rPr>
      </w:pPr>
    </w:p>
    <w:p w:rsidR="00DF3AA7" w:rsidRDefault="00DF3AA7" w:rsidP="00DF3AA7">
      <w:pPr>
        <w:jc w:val="both"/>
        <w:rPr>
          <w:rFonts w:ascii="Arial" w:hAnsi="Arial" w:cs="Arial"/>
          <w:bCs/>
          <w:sz w:val="16"/>
          <w:szCs w:val="18"/>
        </w:rPr>
      </w:pPr>
    </w:p>
    <w:p w:rsidR="003A6327" w:rsidRDefault="003A6327" w:rsidP="00DF3AA7">
      <w:pPr>
        <w:jc w:val="both"/>
        <w:rPr>
          <w:rFonts w:ascii="Arial" w:hAnsi="Arial" w:cs="Arial"/>
          <w:b/>
          <w:bCs/>
        </w:rPr>
      </w:pPr>
      <w:r>
        <w:rPr>
          <w:noProof/>
        </w:rPr>
        <w:lastRenderedPageBreak/>
        <w:drawing>
          <wp:inline distT="0" distB="0" distL="0" distR="0">
            <wp:extent cx="2633842" cy="1741335"/>
            <wp:effectExtent l="19050" t="0" r="14108" b="1126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extent cx="2603335" cy="1735014"/>
            <wp:effectExtent l="19050" t="0" r="25565" b="17586"/>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36AAC" w:rsidRDefault="00236AAC" w:rsidP="00DF3AA7">
      <w:pPr>
        <w:jc w:val="both"/>
        <w:rPr>
          <w:rFonts w:ascii="Arial" w:hAnsi="Arial" w:cs="Arial"/>
          <w:b/>
          <w:bCs/>
        </w:rPr>
      </w:pPr>
    </w:p>
    <w:p w:rsidR="003A6327" w:rsidRDefault="003A6327" w:rsidP="00DF3AA7">
      <w:pPr>
        <w:jc w:val="both"/>
        <w:rPr>
          <w:rFonts w:ascii="Arial" w:hAnsi="Arial" w:cs="Arial"/>
          <w:b/>
          <w:bCs/>
        </w:rPr>
      </w:pPr>
      <w:r>
        <w:rPr>
          <w:noProof/>
        </w:rPr>
        <w:drawing>
          <wp:inline distT="0" distB="0" distL="0" distR="0">
            <wp:extent cx="2654521" cy="1757239"/>
            <wp:effectExtent l="19050" t="0" r="12479" b="14411"/>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extent cx="2578183" cy="1753760"/>
            <wp:effectExtent l="19050" t="0" r="12617" b="1789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36AAC" w:rsidRDefault="00236AAC" w:rsidP="00DF3AA7">
      <w:pPr>
        <w:jc w:val="both"/>
        <w:rPr>
          <w:rFonts w:ascii="Arial" w:hAnsi="Arial" w:cs="Arial"/>
          <w:b/>
          <w:bCs/>
        </w:rPr>
      </w:pPr>
    </w:p>
    <w:p w:rsidR="003A6327" w:rsidRDefault="003A6327" w:rsidP="00DF3AA7">
      <w:pPr>
        <w:jc w:val="both"/>
        <w:rPr>
          <w:rFonts w:ascii="Arial" w:hAnsi="Arial" w:cs="Arial"/>
          <w:b/>
          <w:bCs/>
        </w:rPr>
      </w:pPr>
      <w:r>
        <w:rPr>
          <w:noProof/>
        </w:rPr>
        <w:drawing>
          <wp:inline distT="0" distB="0" distL="0" distR="0">
            <wp:extent cx="2672329" cy="1700309"/>
            <wp:effectExtent l="19050" t="0" r="13721" b="14191"/>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extent cx="2499636" cy="1683495"/>
            <wp:effectExtent l="19050" t="0" r="14964" b="1195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36AAC" w:rsidRDefault="00236AAC" w:rsidP="00236AAC">
      <w:pPr>
        <w:jc w:val="both"/>
        <w:rPr>
          <w:rFonts w:ascii="Arial" w:hAnsi="Arial" w:cs="Arial"/>
          <w:bCs/>
          <w:sz w:val="22"/>
          <w:szCs w:val="22"/>
        </w:rPr>
      </w:pPr>
    </w:p>
    <w:p w:rsidR="00236AAC" w:rsidRDefault="00236AAC" w:rsidP="00236AAC">
      <w:pPr>
        <w:jc w:val="both"/>
        <w:rPr>
          <w:rFonts w:ascii="Arial" w:hAnsi="Arial" w:cs="Arial"/>
          <w:bCs/>
          <w:sz w:val="22"/>
        </w:rPr>
      </w:pPr>
      <w:r w:rsidRPr="00236AAC">
        <w:rPr>
          <w:rFonts w:ascii="Arial" w:hAnsi="Arial" w:cs="Arial"/>
          <w:bCs/>
          <w:sz w:val="22"/>
        </w:rPr>
        <w:t>La entidad atraviesa por un periodo de liquidez óptimo, en consecuencia no ha sido necesario recurrir a operaciones de liquidez en el corto plazo, ya que las captaciones en las diferentes modalidades previstas en el portafolio de servicios ha sido suficiente para responder con las necesidades de los clientes.</w:t>
      </w:r>
    </w:p>
    <w:p w:rsidR="00236AAC" w:rsidRPr="00236AAC" w:rsidRDefault="00236AAC" w:rsidP="00236AAC">
      <w:pPr>
        <w:jc w:val="both"/>
        <w:rPr>
          <w:rFonts w:ascii="Arial" w:hAnsi="Arial" w:cs="Arial"/>
          <w:bCs/>
          <w:sz w:val="22"/>
        </w:rPr>
      </w:pPr>
    </w:p>
    <w:p w:rsidR="00236AAC" w:rsidRPr="00236AAC" w:rsidRDefault="00236AAC" w:rsidP="00236AAC">
      <w:pPr>
        <w:jc w:val="both"/>
        <w:rPr>
          <w:rFonts w:ascii="Arial" w:hAnsi="Arial" w:cs="Arial"/>
          <w:bCs/>
          <w:sz w:val="22"/>
        </w:rPr>
      </w:pPr>
      <w:r w:rsidRPr="00236AAC">
        <w:rPr>
          <w:rFonts w:ascii="Arial" w:hAnsi="Arial" w:cs="Arial"/>
          <w:bCs/>
          <w:sz w:val="22"/>
        </w:rPr>
        <w:t>La continuidad en las políticas establecidas en esta materia, permiten prever que IDESAN tendrá la capacidad suficiente para salidas no previstas de recursos. Para efecto del control de la disponibilidad de recursos orientados a dar cumplimiento a las necesidades de nuestros clientes, contamos con un encaje el cual en ningún caso puede ser inferior al 35% del total de las captaciones, incluidos los convenios, esta decisión es una política institucional que nos ha permitido tener  seguridad y confianza en nuestras transacciones orientadas  a contar con los recursos suficientes para garantizar el giro normal de nuestras actividades.</w:t>
      </w:r>
    </w:p>
    <w:p w:rsidR="00236AAC" w:rsidRPr="00236AAC" w:rsidRDefault="00236AAC" w:rsidP="00236AAC">
      <w:pPr>
        <w:jc w:val="both"/>
        <w:rPr>
          <w:rFonts w:ascii="Arial" w:hAnsi="Arial" w:cs="Arial"/>
          <w:bCs/>
          <w:sz w:val="22"/>
        </w:rPr>
      </w:pPr>
    </w:p>
    <w:p w:rsidR="00236AAC" w:rsidRPr="00236AAC" w:rsidRDefault="00236AAC" w:rsidP="00236AAC">
      <w:pPr>
        <w:jc w:val="both"/>
        <w:rPr>
          <w:rFonts w:ascii="Arial" w:hAnsi="Arial" w:cs="Arial"/>
          <w:bCs/>
          <w:sz w:val="22"/>
        </w:rPr>
      </w:pPr>
      <w:r w:rsidRPr="00236AAC">
        <w:rPr>
          <w:rFonts w:ascii="Arial" w:hAnsi="Arial" w:cs="Arial"/>
          <w:bCs/>
          <w:sz w:val="22"/>
        </w:rPr>
        <w:t xml:space="preserve">También es importante anotar que en la mayoría de los casos el porcentaje de encaje  se ha mantenido por encima del 35% establecido como encaje por encontrarnos  a la expectativa de las decisiones del Ministerio de hacienda en materia de calificación.  </w:t>
      </w:r>
    </w:p>
    <w:p w:rsidR="00236AAC" w:rsidRPr="00236AAC" w:rsidRDefault="00236AAC" w:rsidP="00236AAC">
      <w:pPr>
        <w:jc w:val="both"/>
        <w:rPr>
          <w:rFonts w:ascii="Arial" w:hAnsi="Arial" w:cs="Arial"/>
          <w:bCs/>
          <w:sz w:val="22"/>
        </w:rPr>
      </w:pPr>
    </w:p>
    <w:p w:rsidR="00236AAC" w:rsidRDefault="00236AAC" w:rsidP="00236AAC">
      <w:pPr>
        <w:jc w:val="both"/>
        <w:rPr>
          <w:rFonts w:ascii="Arial" w:hAnsi="Arial" w:cs="Arial"/>
          <w:bCs/>
          <w:sz w:val="22"/>
        </w:rPr>
      </w:pPr>
      <w:r w:rsidRPr="00236AAC">
        <w:rPr>
          <w:rFonts w:ascii="Arial" w:hAnsi="Arial" w:cs="Arial"/>
          <w:bCs/>
          <w:sz w:val="22"/>
        </w:rPr>
        <w:lastRenderedPageBreak/>
        <w:t>El análisis nos muestra que la Institución cuenta con una liquidez adecuada para desarrollar el objeto social como quiera que el activo liquido corresponde a un 55.79% del activo total  y un 74.01% de los depósitos y exigibilidades.</w:t>
      </w:r>
    </w:p>
    <w:p w:rsidR="00236AAC" w:rsidRPr="00236AAC" w:rsidRDefault="00236AAC" w:rsidP="00236AAC">
      <w:pPr>
        <w:jc w:val="both"/>
        <w:rPr>
          <w:rFonts w:ascii="Arial" w:hAnsi="Arial" w:cs="Arial"/>
          <w:bCs/>
          <w:sz w:val="22"/>
        </w:rPr>
      </w:pPr>
    </w:p>
    <w:p w:rsidR="00236AAC" w:rsidRDefault="00236AAC" w:rsidP="00236AAC">
      <w:pPr>
        <w:jc w:val="both"/>
        <w:rPr>
          <w:rFonts w:ascii="Arial" w:hAnsi="Arial" w:cs="Arial"/>
          <w:bCs/>
          <w:sz w:val="22"/>
        </w:rPr>
      </w:pPr>
      <w:r w:rsidRPr="00236AAC">
        <w:rPr>
          <w:rFonts w:ascii="Arial" w:hAnsi="Arial" w:cs="Arial"/>
          <w:bCs/>
          <w:sz w:val="22"/>
        </w:rPr>
        <w:t>A Dic de 2014, los activos líquidos ascendieron a un total de $46.356 millones, los cuales se encuentran distribuidos en cuentas bancarias de entidades con calificación  AAA por  valor $38.892 millones, inversiones en CDT de corto plazo por $7.464 millones en entidades AAA. De acuerdo a las políticas establecidas por la IDESAN, las inversiones con plazo igual o inferior a un (1) año, el establecimiento bancario deberá contar con una calificación vigente correspondiente a la máxima categoría para el corto plazo, de acuerdo con las escalas usadas por las sociedades calificadoras que la otor¬gan y contar como mínimo con la segunda mejor calificación vigente para el largo plazo utilizada por las respectivas sociedades. Para inversiones con plazo superior a un (1) año, el establecimiento bancario deberá contar con la segunda mejor calificación vigente para el largo plazo, según la escala utilizada por las sociedades calificadoras y la máxima calificación para el corto plazo de acuerdo con la escala utilizada para este plazo. Esto con el fin de mitigar posibles riesgos.</w:t>
      </w:r>
    </w:p>
    <w:p w:rsidR="00236AAC" w:rsidRPr="00236AAC" w:rsidRDefault="00236AAC" w:rsidP="00236AAC">
      <w:pPr>
        <w:jc w:val="both"/>
        <w:rPr>
          <w:rFonts w:ascii="Arial" w:hAnsi="Arial" w:cs="Arial"/>
          <w:bCs/>
          <w:sz w:val="22"/>
        </w:rPr>
      </w:pPr>
    </w:p>
    <w:p w:rsidR="00236AAC" w:rsidRPr="00236AAC" w:rsidRDefault="00236AAC" w:rsidP="00236AAC">
      <w:pPr>
        <w:jc w:val="both"/>
        <w:rPr>
          <w:rFonts w:ascii="Arial" w:hAnsi="Arial" w:cs="Arial"/>
          <w:bCs/>
          <w:sz w:val="22"/>
        </w:rPr>
      </w:pPr>
      <w:r w:rsidRPr="00236AAC">
        <w:rPr>
          <w:rFonts w:ascii="Arial" w:hAnsi="Arial" w:cs="Arial"/>
          <w:bCs/>
          <w:sz w:val="22"/>
        </w:rPr>
        <w:t>Los indicadores nos muestra la participación que posee las diferentes modalidades de captación con relación al pasivo total, que posee la entidad. Las cuentas de ahorro sobre el pasivo total representan un 60.79%. Debemos destacar que el indicador de las cuentas de ahorro ha venido siendo nuestra principal fuente de fondeo y a su vez la menos costosa y los CDT sobre el pasivo total representa  un 11.67%.Tanto las cuentas de ahorros y los CDT presentaron un incremento respecto a diciembre 2.013, debido al periodo de liquidez optimo que contamos actualmente. También podemos observar la participación que representa los depósitos con relación a la cartera neta la cual corresponde a un 240.81%, lo que significa que existe disponibilidad de recurso para seguir otorgando créditos.</w:t>
      </w:r>
    </w:p>
    <w:p w:rsidR="00236AAC" w:rsidRDefault="00236AAC" w:rsidP="00DF3AA7">
      <w:pPr>
        <w:jc w:val="both"/>
        <w:rPr>
          <w:rFonts w:ascii="Arial" w:hAnsi="Arial" w:cs="Arial"/>
          <w:b/>
          <w:bCs/>
        </w:rPr>
      </w:pPr>
    </w:p>
    <w:p w:rsidR="00DF3AA7" w:rsidRPr="003D36AB" w:rsidRDefault="00DF3AA7" w:rsidP="00DF3AA7">
      <w:pPr>
        <w:jc w:val="both"/>
        <w:rPr>
          <w:rFonts w:ascii="Arial" w:hAnsi="Arial" w:cs="Arial"/>
          <w:b/>
          <w:bCs/>
        </w:rPr>
      </w:pPr>
      <w:r w:rsidRPr="003D36AB">
        <w:rPr>
          <w:rFonts w:ascii="Arial" w:hAnsi="Arial" w:cs="Arial"/>
          <w:b/>
          <w:bCs/>
        </w:rPr>
        <w:t>INDICADORES DE LIQUIDEZ</w:t>
      </w:r>
    </w:p>
    <w:p w:rsidR="00DF3AA7" w:rsidRDefault="00DF3AA7" w:rsidP="00DF3AA7">
      <w:pPr>
        <w:jc w:val="both"/>
        <w:rPr>
          <w:rFonts w:ascii="Arial" w:hAnsi="Arial" w:cs="Arial"/>
          <w:bCs/>
          <w:sz w:val="16"/>
          <w:szCs w:val="18"/>
        </w:rPr>
      </w:pPr>
    </w:p>
    <w:p w:rsidR="00DF3AA7" w:rsidRDefault="00DF3AA7" w:rsidP="00DF3AA7">
      <w:pPr>
        <w:jc w:val="both"/>
        <w:rPr>
          <w:rFonts w:ascii="Arial" w:hAnsi="Arial" w:cs="Arial"/>
          <w:bCs/>
          <w:sz w:val="16"/>
          <w:szCs w:val="18"/>
        </w:rPr>
      </w:pPr>
    </w:p>
    <w:p w:rsidR="00DF3AA7" w:rsidRPr="003D36AB" w:rsidRDefault="00DF3AA7" w:rsidP="00DF3AA7">
      <w:pPr>
        <w:jc w:val="both"/>
        <w:rPr>
          <w:rFonts w:ascii="Arial" w:hAnsi="Arial" w:cs="Arial"/>
          <w:b/>
          <w:bCs/>
          <w:szCs w:val="18"/>
        </w:rPr>
      </w:pPr>
      <w:r w:rsidRPr="003D36AB">
        <w:rPr>
          <w:rFonts w:ascii="Arial" w:hAnsi="Arial" w:cs="Arial"/>
          <w:b/>
          <w:bCs/>
          <w:szCs w:val="18"/>
        </w:rPr>
        <w:t>Indicadores Calidad De Activo</w:t>
      </w:r>
    </w:p>
    <w:p w:rsidR="00DF3AA7" w:rsidRPr="003D36AB" w:rsidRDefault="00DF3AA7" w:rsidP="00DF3AA7">
      <w:pPr>
        <w:jc w:val="both"/>
        <w:rPr>
          <w:rFonts w:ascii="Arial" w:hAnsi="Arial" w:cs="Arial"/>
          <w:bCs/>
          <w:szCs w:val="18"/>
        </w:rPr>
      </w:pPr>
    </w:p>
    <w:p w:rsidR="00DF3AA7" w:rsidRPr="003D36AB" w:rsidRDefault="00DF3AA7" w:rsidP="00DF3AA7">
      <w:pPr>
        <w:numPr>
          <w:ilvl w:val="1"/>
          <w:numId w:val="6"/>
        </w:numPr>
        <w:jc w:val="both"/>
        <w:rPr>
          <w:rFonts w:ascii="Arial" w:hAnsi="Arial" w:cs="Arial"/>
          <w:bCs/>
          <w:szCs w:val="18"/>
        </w:rPr>
      </w:pPr>
      <w:r w:rsidRPr="003D36AB">
        <w:rPr>
          <w:rFonts w:ascii="Arial" w:hAnsi="Arial" w:cs="Arial"/>
          <w:bCs/>
          <w:szCs w:val="18"/>
        </w:rPr>
        <w:t>CARTERA VENCIDA</w:t>
      </w:r>
    </w:p>
    <w:p w:rsidR="00DF3AA7" w:rsidRPr="003D36AB" w:rsidRDefault="00DF3AA7" w:rsidP="00DF3AA7">
      <w:pPr>
        <w:numPr>
          <w:ilvl w:val="1"/>
          <w:numId w:val="6"/>
        </w:numPr>
        <w:jc w:val="both"/>
        <w:rPr>
          <w:rFonts w:ascii="Arial" w:hAnsi="Arial" w:cs="Arial"/>
          <w:bCs/>
          <w:szCs w:val="18"/>
        </w:rPr>
      </w:pPr>
      <w:r w:rsidRPr="003D36AB">
        <w:rPr>
          <w:rFonts w:ascii="Arial" w:hAnsi="Arial" w:cs="Arial"/>
          <w:bCs/>
          <w:szCs w:val="18"/>
        </w:rPr>
        <w:t>CARTERA VENCIDA / CARTERA BRUTA</w:t>
      </w:r>
    </w:p>
    <w:p w:rsidR="00DF3AA7" w:rsidRPr="003D36AB" w:rsidRDefault="00DF3AA7" w:rsidP="00DF3AA7">
      <w:pPr>
        <w:numPr>
          <w:ilvl w:val="1"/>
          <w:numId w:val="6"/>
        </w:numPr>
        <w:jc w:val="both"/>
        <w:rPr>
          <w:rFonts w:ascii="Arial" w:hAnsi="Arial" w:cs="Arial"/>
          <w:bCs/>
          <w:szCs w:val="18"/>
        </w:rPr>
      </w:pPr>
      <w:r w:rsidRPr="003D36AB">
        <w:rPr>
          <w:rFonts w:ascii="Arial" w:hAnsi="Arial" w:cs="Arial"/>
          <w:bCs/>
          <w:szCs w:val="18"/>
        </w:rPr>
        <w:t>PROVISIÓN / CARTERA VENCIDA</w:t>
      </w:r>
    </w:p>
    <w:p w:rsidR="00DF3AA7" w:rsidRPr="003D36AB" w:rsidRDefault="00DF3AA7" w:rsidP="00DF3AA7">
      <w:pPr>
        <w:numPr>
          <w:ilvl w:val="1"/>
          <w:numId w:val="6"/>
        </w:numPr>
        <w:jc w:val="both"/>
        <w:rPr>
          <w:rFonts w:ascii="Arial" w:hAnsi="Arial" w:cs="Arial"/>
          <w:bCs/>
          <w:szCs w:val="18"/>
        </w:rPr>
      </w:pPr>
      <w:r w:rsidRPr="003D36AB">
        <w:rPr>
          <w:rFonts w:ascii="Arial" w:hAnsi="Arial" w:cs="Arial"/>
          <w:bCs/>
          <w:szCs w:val="18"/>
        </w:rPr>
        <w:t>CARTERA VENCIDA / CARTERA NETA</w:t>
      </w:r>
    </w:p>
    <w:p w:rsidR="00DF3AA7" w:rsidRPr="003D36AB" w:rsidRDefault="00DF3AA7" w:rsidP="00DF3AA7">
      <w:pPr>
        <w:numPr>
          <w:ilvl w:val="1"/>
          <w:numId w:val="6"/>
        </w:numPr>
        <w:jc w:val="both"/>
        <w:rPr>
          <w:rFonts w:ascii="Arial" w:hAnsi="Arial" w:cs="Arial"/>
          <w:bCs/>
          <w:szCs w:val="18"/>
        </w:rPr>
      </w:pPr>
      <w:r w:rsidRPr="003D36AB">
        <w:rPr>
          <w:rFonts w:ascii="Arial" w:hAnsi="Arial" w:cs="Arial"/>
          <w:bCs/>
          <w:szCs w:val="18"/>
        </w:rPr>
        <w:t>ACTIVOS IMPRODUCTIVOS / TOTAL ACTIVOS</w:t>
      </w:r>
    </w:p>
    <w:p w:rsidR="00DF3AA7" w:rsidRPr="003D36AB" w:rsidRDefault="00DF3AA7" w:rsidP="00DF3AA7">
      <w:pPr>
        <w:numPr>
          <w:ilvl w:val="1"/>
          <w:numId w:val="6"/>
        </w:numPr>
        <w:jc w:val="both"/>
        <w:rPr>
          <w:rFonts w:ascii="Arial" w:hAnsi="Arial" w:cs="Arial"/>
          <w:bCs/>
          <w:szCs w:val="18"/>
        </w:rPr>
      </w:pPr>
      <w:r w:rsidRPr="003D36AB">
        <w:rPr>
          <w:rFonts w:ascii="Arial" w:hAnsi="Arial" w:cs="Arial"/>
          <w:bCs/>
          <w:szCs w:val="18"/>
        </w:rPr>
        <w:t>INGRESO NETO DE INTERES / ACTIVOS:</w:t>
      </w:r>
    </w:p>
    <w:p w:rsidR="00DF3AA7" w:rsidRDefault="00DF3AA7" w:rsidP="00DF3AA7">
      <w:pPr>
        <w:jc w:val="both"/>
        <w:rPr>
          <w:rFonts w:ascii="Arial" w:hAnsi="Arial" w:cs="Arial"/>
          <w:bCs/>
          <w:sz w:val="16"/>
          <w:szCs w:val="18"/>
        </w:rPr>
      </w:pPr>
    </w:p>
    <w:p w:rsidR="00DF3AA7" w:rsidRDefault="00DF3AA7" w:rsidP="00DF3AA7">
      <w:pPr>
        <w:jc w:val="both"/>
      </w:pPr>
      <w:r w:rsidRPr="003F6C5C">
        <w:rPr>
          <w:noProof/>
          <w:lang w:val="es-CO" w:eastAsia="en-US"/>
        </w:rPr>
        <w:t xml:space="preserve">  </w:t>
      </w:r>
      <w:r>
        <w:t xml:space="preserve"> </w:t>
      </w:r>
    </w:p>
    <w:p w:rsidR="003A6327" w:rsidRDefault="003A6327" w:rsidP="00DF3AA7">
      <w:pPr>
        <w:jc w:val="both"/>
        <w:rPr>
          <w:rFonts w:ascii="Arial" w:hAnsi="Arial" w:cs="Arial"/>
          <w:b/>
          <w:sz w:val="16"/>
          <w:szCs w:val="16"/>
        </w:rPr>
      </w:pPr>
      <w:r>
        <w:rPr>
          <w:noProof/>
        </w:rPr>
        <w:drawing>
          <wp:inline distT="0" distB="0" distL="0" distR="0">
            <wp:extent cx="2608415" cy="1884459"/>
            <wp:effectExtent l="19050" t="0" r="20485" b="20541"/>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rPr>
        <w:drawing>
          <wp:inline distT="0" distB="0" distL="0" distR="0">
            <wp:extent cx="2621142" cy="1887027"/>
            <wp:effectExtent l="19050" t="0" r="26808" b="17973"/>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36AAC" w:rsidRDefault="00236AAC" w:rsidP="00DF3AA7">
      <w:pPr>
        <w:jc w:val="both"/>
        <w:rPr>
          <w:rFonts w:ascii="Arial" w:hAnsi="Arial" w:cs="Arial"/>
          <w:b/>
          <w:sz w:val="16"/>
          <w:szCs w:val="16"/>
        </w:rPr>
      </w:pPr>
    </w:p>
    <w:p w:rsidR="003A6327" w:rsidRDefault="003A6327" w:rsidP="00DF3AA7">
      <w:pPr>
        <w:jc w:val="both"/>
        <w:rPr>
          <w:rFonts w:ascii="Arial" w:hAnsi="Arial" w:cs="Arial"/>
          <w:b/>
          <w:sz w:val="16"/>
          <w:szCs w:val="16"/>
        </w:rPr>
      </w:pPr>
      <w:r>
        <w:rPr>
          <w:noProof/>
        </w:rPr>
        <w:lastRenderedPageBreak/>
        <w:drawing>
          <wp:inline distT="0" distB="0" distL="0" distR="0">
            <wp:extent cx="2646901" cy="1848871"/>
            <wp:effectExtent l="19050" t="0" r="20099" b="18029"/>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drawing>
          <wp:inline distT="0" distB="0" distL="0" distR="0">
            <wp:extent cx="2584892" cy="1855857"/>
            <wp:effectExtent l="19050" t="0" r="24958" b="11043"/>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36AAC" w:rsidRDefault="00236AAC" w:rsidP="00DF3AA7">
      <w:pPr>
        <w:jc w:val="both"/>
        <w:rPr>
          <w:rFonts w:ascii="Arial" w:hAnsi="Arial" w:cs="Arial"/>
          <w:b/>
          <w:sz w:val="16"/>
          <w:szCs w:val="16"/>
        </w:rPr>
      </w:pPr>
    </w:p>
    <w:p w:rsidR="00DF3AA7" w:rsidRDefault="003A6327" w:rsidP="00DF3AA7">
      <w:pPr>
        <w:jc w:val="both"/>
        <w:rPr>
          <w:rFonts w:ascii="Arial" w:hAnsi="Arial" w:cs="Arial"/>
          <w:b/>
          <w:sz w:val="16"/>
          <w:szCs w:val="16"/>
        </w:rPr>
      </w:pPr>
      <w:r>
        <w:rPr>
          <w:noProof/>
        </w:rPr>
        <w:drawing>
          <wp:inline distT="0" distB="0" distL="0" distR="0">
            <wp:extent cx="2608415" cy="1974823"/>
            <wp:effectExtent l="19050" t="0" r="20485" b="25427"/>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extent cx="2672328" cy="1983713"/>
            <wp:effectExtent l="19050" t="0" r="13722" b="16537"/>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F3AA7" w:rsidRPr="00C73E95" w:rsidRDefault="00DF3AA7" w:rsidP="00DF3AA7">
      <w:pPr>
        <w:jc w:val="both"/>
        <w:rPr>
          <w:rFonts w:ascii="Arial" w:hAnsi="Arial" w:cs="Arial"/>
          <w:bCs/>
          <w:sz w:val="16"/>
          <w:szCs w:val="16"/>
        </w:rPr>
      </w:pP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El  valor de cartera vencida presenta un aumento comparado Diciembre de 2.014 y Diciembre de 2.013,debido al incumplimiento de los cliente que relaciono  a continuación:</w:t>
      </w: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Municipio de Suaita-Ideacta</w:t>
      </w: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Empresa Piedecuestana de Servicios Públicos-ideacta</w:t>
      </w: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 xml:space="preserve">Unión Temporal Santander Enserio 2.014-Crédito de corto plazo </w:t>
      </w: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Codenco-Corto Plazo</w:t>
      </w: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Municipio de Guaca-tesoreria</w:t>
      </w: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y libranzas con procesos jurídicos</w:t>
      </w:r>
    </w:p>
    <w:p w:rsid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 xml:space="preserve">y otros </w:t>
      </w:r>
    </w:p>
    <w:p w:rsidR="00236AAC" w:rsidRPr="00236AAC" w:rsidRDefault="00236AAC" w:rsidP="00236AAC">
      <w:pPr>
        <w:jc w:val="both"/>
        <w:rPr>
          <w:rFonts w:ascii="Arial" w:hAnsi="Arial" w:cs="Arial"/>
          <w:bCs/>
          <w:sz w:val="22"/>
          <w:szCs w:val="18"/>
          <w:lang w:val="es-ES_tradnl"/>
        </w:rPr>
      </w:pP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Es de anotar que la cartera vencida se encuentra con garantias reales como pignoracion de rentas, transferencias de la Nación o soportados en obras terminadas o ejecutadas y recibidas a entera satisfacción por parte del contratante o con respaldo de los entes territoriales; además se han tomado medidas de acuerdo a lo establecido en los manuales del IDESAN y lo pactado de  mutuo entre las partes. Por lo anterior el indicador de cartera vencida/cartera neta presenta un incremento 1.21% respecto a diciembre del 2.013.</w:t>
      </w:r>
    </w:p>
    <w:p w:rsidR="00236AAC" w:rsidRPr="00236AAC" w:rsidRDefault="00236AAC" w:rsidP="00236AAC">
      <w:pPr>
        <w:jc w:val="both"/>
        <w:rPr>
          <w:rFonts w:ascii="Arial" w:hAnsi="Arial" w:cs="Arial"/>
          <w:bCs/>
          <w:sz w:val="22"/>
          <w:szCs w:val="18"/>
          <w:lang w:val="es-ES_tradnl"/>
        </w:rPr>
      </w:pP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El indicador de provisión/cartera vencida registra una disminución, comparado el corte a dic de 2.013 y dic de 2.014, debido a que el valor de la mas alto de la  cartera vencida tiene un vencimiento de 30 dias.</w:t>
      </w: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 xml:space="preserve"> </w:t>
      </w: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Respecto al indicador de activos improductivos /total de activos, presenta un decrecimiento, esto debido al incremento de los activos en este caso en el rubro del efectivo.</w:t>
      </w:r>
    </w:p>
    <w:p w:rsidR="00236AAC" w:rsidRPr="00236AAC" w:rsidRDefault="00236AAC" w:rsidP="00236AAC">
      <w:pPr>
        <w:jc w:val="both"/>
        <w:rPr>
          <w:rFonts w:ascii="Arial" w:hAnsi="Arial" w:cs="Arial"/>
          <w:bCs/>
          <w:sz w:val="22"/>
          <w:szCs w:val="18"/>
          <w:lang w:val="es-ES_tradnl"/>
        </w:rPr>
      </w:pP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lastRenderedPageBreak/>
        <w:t>De los activos improductivos, durante la vigencia 2013 se adelantó todas las gestiones para lograr la venta de las acciones del Fondo Ganadero de Santander y a la fecha no se ha podido finiquitar.</w:t>
      </w:r>
    </w:p>
    <w:p w:rsidR="00236AAC" w:rsidRPr="00236AAC" w:rsidRDefault="00236AAC" w:rsidP="00236AAC">
      <w:pPr>
        <w:jc w:val="both"/>
        <w:rPr>
          <w:rFonts w:ascii="Arial" w:hAnsi="Arial" w:cs="Arial"/>
          <w:bCs/>
          <w:sz w:val="22"/>
          <w:szCs w:val="18"/>
          <w:lang w:val="es-ES_tradnl"/>
        </w:rPr>
      </w:pPr>
      <w:r w:rsidRPr="00236AAC">
        <w:rPr>
          <w:rFonts w:ascii="Arial" w:hAnsi="Arial" w:cs="Arial"/>
          <w:bCs/>
          <w:sz w:val="22"/>
          <w:szCs w:val="18"/>
          <w:lang w:val="es-ES_tradnl"/>
        </w:rPr>
        <w:t>Al IDESAN le correspondería la Finca denominada GIBRALTAR que según avaluó catastral tiene un valor de  $ 3.275.608.950 y adicional nos darían en efectivo  la suma $ 163.297.692, para un gran total de $ 3.438.906.642  que corresponde a  2.135.569  acciones.  Actualmente el fondo en  liquidación está definiendo una entidad financiera para la asignación de la fiducia, la cual llevará el proceso de venta de este bien inmueble. Y aspiramos que este año se finiquite la venta para darle entrada a estos ingresos.</w:t>
      </w:r>
    </w:p>
    <w:p w:rsidR="00236AAC" w:rsidRPr="00236AAC" w:rsidRDefault="00236AAC" w:rsidP="00DF3AA7">
      <w:pPr>
        <w:jc w:val="both"/>
        <w:rPr>
          <w:rFonts w:ascii="Arial" w:hAnsi="Arial" w:cs="Arial"/>
          <w:b/>
          <w:bCs/>
          <w:sz w:val="22"/>
          <w:szCs w:val="18"/>
        </w:rPr>
      </w:pPr>
    </w:p>
    <w:p w:rsidR="00DF3AA7" w:rsidRPr="00236AAC" w:rsidRDefault="00DF3AA7" w:rsidP="00DF3AA7">
      <w:pPr>
        <w:jc w:val="both"/>
        <w:rPr>
          <w:rFonts w:ascii="Arial" w:hAnsi="Arial" w:cs="Arial"/>
          <w:b/>
          <w:bCs/>
          <w:sz w:val="22"/>
          <w:szCs w:val="18"/>
        </w:rPr>
      </w:pPr>
      <w:r w:rsidRPr="00236AAC">
        <w:rPr>
          <w:rFonts w:ascii="Arial" w:hAnsi="Arial" w:cs="Arial"/>
          <w:b/>
          <w:bCs/>
          <w:sz w:val="22"/>
          <w:szCs w:val="18"/>
        </w:rPr>
        <w:t>Indicadores Calidad De Capital</w:t>
      </w:r>
    </w:p>
    <w:p w:rsidR="00DF3AA7" w:rsidRPr="00236AAC" w:rsidRDefault="00DF3AA7" w:rsidP="00DF3AA7">
      <w:pPr>
        <w:jc w:val="both"/>
        <w:rPr>
          <w:rFonts w:ascii="Arial" w:hAnsi="Arial" w:cs="Arial"/>
          <w:bCs/>
          <w:sz w:val="22"/>
          <w:szCs w:val="18"/>
        </w:rPr>
      </w:pPr>
    </w:p>
    <w:p w:rsidR="00DF3AA7" w:rsidRPr="00236AAC" w:rsidRDefault="00DF3AA7" w:rsidP="00DF3AA7">
      <w:pPr>
        <w:numPr>
          <w:ilvl w:val="1"/>
          <w:numId w:val="6"/>
        </w:numPr>
        <w:jc w:val="both"/>
        <w:rPr>
          <w:rFonts w:ascii="Arial" w:hAnsi="Arial" w:cs="Arial"/>
          <w:bCs/>
          <w:sz w:val="22"/>
          <w:szCs w:val="18"/>
        </w:rPr>
      </w:pPr>
      <w:r w:rsidRPr="00236AAC">
        <w:rPr>
          <w:rFonts w:ascii="Arial" w:hAnsi="Arial" w:cs="Arial"/>
          <w:bCs/>
          <w:sz w:val="22"/>
          <w:szCs w:val="18"/>
        </w:rPr>
        <w:t>ACTIVOS IMPRODUCTIVOS / PATRIMONIO</w:t>
      </w:r>
    </w:p>
    <w:p w:rsidR="00DF3AA7" w:rsidRPr="00236AAC" w:rsidRDefault="00DF3AA7" w:rsidP="00DF3AA7">
      <w:pPr>
        <w:numPr>
          <w:ilvl w:val="1"/>
          <w:numId w:val="6"/>
        </w:numPr>
        <w:jc w:val="both"/>
        <w:rPr>
          <w:rFonts w:ascii="Arial" w:hAnsi="Arial" w:cs="Arial"/>
          <w:bCs/>
          <w:sz w:val="22"/>
          <w:szCs w:val="18"/>
        </w:rPr>
      </w:pPr>
      <w:r w:rsidRPr="00236AAC">
        <w:rPr>
          <w:rFonts w:ascii="Arial" w:hAnsi="Arial" w:cs="Arial"/>
          <w:bCs/>
          <w:sz w:val="22"/>
          <w:szCs w:val="18"/>
        </w:rPr>
        <w:t>ACTIVOS PRODUCTIVOS / PATRIMONIO</w:t>
      </w:r>
    </w:p>
    <w:p w:rsidR="00DF3AA7" w:rsidRPr="00236AAC" w:rsidRDefault="00DF3AA7" w:rsidP="00DF3AA7">
      <w:pPr>
        <w:numPr>
          <w:ilvl w:val="1"/>
          <w:numId w:val="6"/>
        </w:numPr>
        <w:jc w:val="both"/>
        <w:rPr>
          <w:rFonts w:ascii="Arial" w:hAnsi="Arial" w:cs="Arial"/>
          <w:bCs/>
          <w:sz w:val="22"/>
          <w:szCs w:val="18"/>
        </w:rPr>
      </w:pPr>
      <w:r w:rsidRPr="00236AAC">
        <w:rPr>
          <w:rFonts w:ascii="Arial" w:hAnsi="Arial" w:cs="Arial"/>
          <w:bCs/>
          <w:sz w:val="22"/>
          <w:szCs w:val="18"/>
        </w:rPr>
        <w:t>ACTIVOS PRODUCTIVOS / PASIVOS CON COSTO</w:t>
      </w:r>
    </w:p>
    <w:p w:rsidR="00DF3AA7" w:rsidRPr="00236AAC" w:rsidRDefault="00DF3AA7" w:rsidP="00DF3AA7">
      <w:pPr>
        <w:numPr>
          <w:ilvl w:val="1"/>
          <w:numId w:val="6"/>
        </w:numPr>
        <w:jc w:val="both"/>
        <w:rPr>
          <w:rFonts w:ascii="Arial" w:hAnsi="Arial" w:cs="Arial"/>
          <w:bCs/>
          <w:sz w:val="22"/>
          <w:szCs w:val="18"/>
        </w:rPr>
      </w:pPr>
      <w:r w:rsidRPr="00236AAC">
        <w:rPr>
          <w:rFonts w:ascii="Arial" w:hAnsi="Arial" w:cs="Arial"/>
          <w:bCs/>
          <w:sz w:val="22"/>
          <w:szCs w:val="18"/>
        </w:rPr>
        <w:t>DEUDAS / PATRIMONIO</w:t>
      </w:r>
    </w:p>
    <w:p w:rsidR="00DF3AA7" w:rsidRPr="00236AAC" w:rsidRDefault="00DF3AA7" w:rsidP="00DF3AA7">
      <w:pPr>
        <w:numPr>
          <w:ilvl w:val="1"/>
          <w:numId w:val="6"/>
        </w:numPr>
        <w:jc w:val="both"/>
        <w:rPr>
          <w:rFonts w:ascii="Arial" w:hAnsi="Arial" w:cs="Arial"/>
          <w:bCs/>
          <w:sz w:val="22"/>
          <w:szCs w:val="18"/>
        </w:rPr>
      </w:pPr>
      <w:r w:rsidRPr="00236AAC">
        <w:rPr>
          <w:rFonts w:ascii="Arial" w:hAnsi="Arial" w:cs="Arial"/>
          <w:bCs/>
          <w:sz w:val="22"/>
          <w:szCs w:val="18"/>
        </w:rPr>
        <w:t>PATRIMONIO / TOTAL ACTIVO:</w:t>
      </w:r>
    </w:p>
    <w:p w:rsidR="00DF3AA7" w:rsidRPr="00236AAC" w:rsidRDefault="00DF3AA7" w:rsidP="00DF3AA7">
      <w:pPr>
        <w:jc w:val="both"/>
        <w:rPr>
          <w:rFonts w:ascii="Arial" w:hAnsi="Arial" w:cs="Arial"/>
          <w:bCs/>
          <w:sz w:val="22"/>
          <w:szCs w:val="18"/>
        </w:rPr>
      </w:pPr>
    </w:p>
    <w:p w:rsidR="00DF3AA7" w:rsidRDefault="00DF3AA7" w:rsidP="00DF3AA7">
      <w:pPr>
        <w:jc w:val="both"/>
        <w:rPr>
          <w:rFonts w:ascii="Arial" w:hAnsi="Arial" w:cs="Arial"/>
          <w:bCs/>
          <w:sz w:val="16"/>
          <w:szCs w:val="18"/>
        </w:rPr>
      </w:pPr>
    </w:p>
    <w:p w:rsidR="003A6327" w:rsidRDefault="003A6327" w:rsidP="00DF3AA7">
      <w:pPr>
        <w:jc w:val="both"/>
        <w:rPr>
          <w:rFonts w:ascii="Arial" w:hAnsi="Arial" w:cs="Arial"/>
          <w:bCs/>
          <w:sz w:val="16"/>
          <w:szCs w:val="18"/>
        </w:rPr>
      </w:pPr>
      <w:r>
        <w:rPr>
          <w:noProof/>
        </w:rPr>
        <w:drawing>
          <wp:inline distT="0" distB="0" distL="0" distR="0">
            <wp:extent cx="2808799" cy="1866983"/>
            <wp:effectExtent l="19050" t="0" r="10601" b="18967"/>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rPr>
        <w:drawing>
          <wp:inline distT="0" distB="0" distL="0" distR="0">
            <wp:extent cx="2434755" cy="1912151"/>
            <wp:effectExtent l="19050" t="0" r="22695" b="11899"/>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36AAC" w:rsidRDefault="00236AAC" w:rsidP="00DF3AA7">
      <w:pPr>
        <w:jc w:val="both"/>
        <w:rPr>
          <w:rFonts w:ascii="Arial" w:hAnsi="Arial" w:cs="Arial"/>
          <w:bCs/>
          <w:sz w:val="16"/>
          <w:szCs w:val="18"/>
        </w:rPr>
      </w:pPr>
    </w:p>
    <w:p w:rsidR="003A6327" w:rsidRDefault="003A6327" w:rsidP="00DF3AA7">
      <w:pPr>
        <w:jc w:val="both"/>
        <w:rPr>
          <w:rFonts w:ascii="Arial" w:hAnsi="Arial" w:cs="Arial"/>
          <w:bCs/>
          <w:sz w:val="16"/>
          <w:szCs w:val="18"/>
        </w:rPr>
      </w:pPr>
      <w:r>
        <w:rPr>
          <w:noProof/>
        </w:rPr>
        <w:drawing>
          <wp:inline distT="0" distB="0" distL="0" distR="0">
            <wp:extent cx="2809406" cy="1828800"/>
            <wp:effectExtent l="19050" t="0" r="9994"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extent cx="2496461" cy="1833272"/>
            <wp:effectExtent l="19050" t="0" r="18139" b="14578"/>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36AAC" w:rsidRDefault="00236AAC" w:rsidP="00DF3AA7">
      <w:pPr>
        <w:jc w:val="both"/>
        <w:rPr>
          <w:rFonts w:ascii="Arial" w:hAnsi="Arial" w:cs="Arial"/>
          <w:bCs/>
          <w:sz w:val="16"/>
          <w:szCs w:val="18"/>
        </w:rPr>
      </w:pPr>
    </w:p>
    <w:p w:rsidR="003A6327" w:rsidRDefault="003A6327" w:rsidP="00DF3AA7">
      <w:pPr>
        <w:jc w:val="both"/>
        <w:rPr>
          <w:rFonts w:ascii="Arial" w:hAnsi="Arial" w:cs="Arial"/>
          <w:bCs/>
          <w:sz w:val="16"/>
          <w:szCs w:val="18"/>
        </w:rPr>
      </w:pPr>
      <w:r>
        <w:rPr>
          <w:noProof/>
        </w:rPr>
        <w:lastRenderedPageBreak/>
        <w:drawing>
          <wp:inline distT="0" distB="0" distL="0" distR="0">
            <wp:extent cx="5267022" cy="1979875"/>
            <wp:effectExtent l="19050" t="0" r="9828" b="2037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36AAC" w:rsidRPr="00236AAC" w:rsidRDefault="00236AAC" w:rsidP="00236AAC">
      <w:pPr>
        <w:jc w:val="both"/>
        <w:rPr>
          <w:rFonts w:ascii="Arial" w:hAnsi="Arial" w:cs="Arial"/>
          <w:color w:val="FF0000"/>
          <w:sz w:val="22"/>
          <w:lang w:val="es-ES_tradnl"/>
        </w:rPr>
      </w:pPr>
      <w:r w:rsidRPr="00236AAC">
        <w:rPr>
          <w:rFonts w:ascii="Arial" w:hAnsi="Arial" w:cs="Arial"/>
          <w:sz w:val="22"/>
          <w:lang w:val="es-ES_tradnl"/>
        </w:rPr>
        <w:t>Los activos improductivos respecto al patrimonio representan el 48.54%, presentando un resultado inferior al registrado en Diciembre de 2.013 una  leve disminución, debido a que los cargos diferidos que se han venido contabilizando</w:t>
      </w:r>
      <w:r w:rsidRPr="00236AAC">
        <w:rPr>
          <w:rFonts w:ascii="Arial" w:hAnsi="Arial" w:cs="Arial"/>
          <w:color w:val="FF0000"/>
          <w:sz w:val="22"/>
          <w:lang w:val="es-ES_tradnl"/>
        </w:rPr>
        <w:t>.</w:t>
      </w:r>
    </w:p>
    <w:p w:rsidR="00236AAC" w:rsidRPr="00236AAC" w:rsidRDefault="00236AAC" w:rsidP="00236AAC">
      <w:pPr>
        <w:jc w:val="both"/>
        <w:rPr>
          <w:rFonts w:ascii="Arial" w:hAnsi="Arial" w:cs="Arial"/>
          <w:color w:val="FF0000"/>
          <w:sz w:val="22"/>
          <w:lang w:val="es-ES_tradnl"/>
        </w:rPr>
      </w:pPr>
    </w:p>
    <w:p w:rsidR="00236AAC" w:rsidRDefault="00236AAC" w:rsidP="00236AAC">
      <w:pPr>
        <w:jc w:val="both"/>
        <w:rPr>
          <w:rFonts w:ascii="Arial" w:hAnsi="Arial" w:cs="Arial"/>
          <w:sz w:val="22"/>
          <w:lang w:val="es-ES_tradnl"/>
        </w:rPr>
      </w:pPr>
      <w:r w:rsidRPr="00236AAC">
        <w:rPr>
          <w:rFonts w:ascii="Arial" w:hAnsi="Arial" w:cs="Arial"/>
          <w:sz w:val="22"/>
          <w:lang w:val="es-ES_tradnl"/>
        </w:rPr>
        <w:t xml:space="preserve">Con corte a diciembre de 2.014 la relación patrimonio sobre activos fue de 23.00% resultado inferior al registrado en Diciembre de 2.013. Dicho cambio está explicado principalmente, por un crecimiento del rubro del efectivo, y dado el bajo nivel de fortalecimiento patrimonial evidenciado en el Instituto durante dicho periodo. </w:t>
      </w:r>
    </w:p>
    <w:p w:rsidR="00236AAC" w:rsidRPr="00236AAC" w:rsidRDefault="00236AAC" w:rsidP="00236AAC">
      <w:pPr>
        <w:jc w:val="both"/>
        <w:rPr>
          <w:rFonts w:ascii="Arial" w:hAnsi="Arial" w:cs="Arial"/>
          <w:sz w:val="22"/>
          <w:lang w:val="es-ES_tradnl"/>
        </w:rPr>
      </w:pPr>
    </w:p>
    <w:p w:rsidR="00236AAC" w:rsidRPr="00236AAC" w:rsidRDefault="00236AAC" w:rsidP="00236AAC">
      <w:pPr>
        <w:jc w:val="both"/>
        <w:rPr>
          <w:rFonts w:ascii="Arial" w:hAnsi="Arial" w:cs="Arial"/>
          <w:sz w:val="22"/>
          <w:lang w:val="es-ES_tradnl"/>
        </w:rPr>
      </w:pPr>
      <w:r w:rsidRPr="00236AAC">
        <w:rPr>
          <w:rFonts w:ascii="Arial" w:hAnsi="Arial" w:cs="Arial"/>
          <w:sz w:val="22"/>
          <w:lang w:val="es-ES_tradnl"/>
        </w:rPr>
        <w:t>El incremento del patrimonio se ha dado por  los resultados del ejercicio arrojados para este periodo.</w:t>
      </w:r>
    </w:p>
    <w:p w:rsidR="00236AAC" w:rsidRPr="00236AAC" w:rsidRDefault="00236AAC" w:rsidP="00236AAC">
      <w:pPr>
        <w:jc w:val="both"/>
        <w:rPr>
          <w:rFonts w:ascii="Arial" w:hAnsi="Arial" w:cs="Arial"/>
          <w:sz w:val="22"/>
          <w:lang w:val="es-ES_tradnl"/>
        </w:rPr>
      </w:pPr>
    </w:p>
    <w:p w:rsidR="004E1A12" w:rsidRPr="00236AAC" w:rsidRDefault="00236AAC" w:rsidP="00236AAC">
      <w:pPr>
        <w:rPr>
          <w:sz w:val="22"/>
        </w:rPr>
      </w:pPr>
      <w:r w:rsidRPr="00236AAC">
        <w:rPr>
          <w:rFonts w:ascii="Arial" w:hAnsi="Arial" w:cs="Arial"/>
          <w:sz w:val="22"/>
          <w:lang w:val="es-ES_tradnl"/>
        </w:rPr>
        <w:t>Los activos productivos respecto al patrimonio presentaron un incremento debido al mayor valor reflejado en el efectivo y en las inversiones en títulos de deuda</w:t>
      </w:r>
    </w:p>
    <w:p w:rsidR="004E1A12" w:rsidRDefault="004E1A12" w:rsidP="004E1A12"/>
    <w:p w:rsidR="00DF3AA7" w:rsidRPr="00236AAC" w:rsidRDefault="00DF3AA7" w:rsidP="004E1A12">
      <w:pPr>
        <w:rPr>
          <w:rFonts w:ascii="Arial" w:hAnsi="Arial" w:cs="Arial"/>
          <w:b/>
          <w:bCs/>
          <w:i/>
          <w:iCs/>
          <w:sz w:val="22"/>
          <w:szCs w:val="14"/>
        </w:rPr>
      </w:pPr>
      <w:r w:rsidRPr="00236AAC">
        <w:rPr>
          <w:rFonts w:ascii="Arial" w:hAnsi="Arial" w:cs="Arial"/>
          <w:b/>
          <w:bCs/>
          <w:color w:val="008000"/>
          <w:sz w:val="22"/>
          <w:szCs w:val="14"/>
        </w:rPr>
        <w:t>4.6 PROCESO DE SISTEMAS</w:t>
      </w:r>
    </w:p>
    <w:p w:rsidR="00DF3AA7" w:rsidRPr="00236AAC" w:rsidRDefault="00DF3AA7" w:rsidP="00DF3AA7">
      <w:pPr>
        <w:tabs>
          <w:tab w:val="left" w:pos="360"/>
        </w:tabs>
        <w:jc w:val="both"/>
        <w:rPr>
          <w:rFonts w:ascii="Arial" w:hAnsi="Arial" w:cs="Arial"/>
          <w:b/>
          <w:bCs/>
          <w:sz w:val="22"/>
          <w:szCs w:val="14"/>
        </w:rPr>
      </w:pPr>
    </w:p>
    <w:p w:rsidR="00DF3AA7" w:rsidRPr="00236AAC" w:rsidRDefault="00DF3AA7" w:rsidP="00DF3AA7">
      <w:pPr>
        <w:pStyle w:val="Textoindependiente"/>
        <w:rPr>
          <w:sz w:val="22"/>
        </w:rPr>
      </w:pPr>
      <w:r w:rsidRPr="00236AAC">
        <w:rPr>
          <w:sz w:val="22"/>
        </w:rPr>
        <w:t>La Dra. Claudia E. Hernandez, hizo la presentación de los indicadores de Gestión de su proceso así:</w:t>
      </w:r>
    </w:p>
    <w:p w:rsidR="00DF3AA7" w:rsidRPr="00236AAC" w:rsidRDefault="00DF3AA7" w:rsidP="00DF3AA7">
      <w:pPr>
        <w:tabs>
          <w:tab w:val="left" w:pos="360"/>
        </w:tabs>
        <w:jc w:val="both"/>
        <w:rPr>
          <w:rFonts w:ascii="Arial" w:hAnsi="Arial" w:cs="Arial"/>
          <w:b/>
          <w:bCs/>
          <w:sz w:val="22"/>
          <w:szCs w:val="14"/>
        </w:rPr>
      </w:pPr>
    </w:p>
    <w:p w:rsidR="00DF3AA7" w:rsidRPr="00236AAC" w:rsidRDefault="00DF3AA7" w:rsidP="00DF3AA7">
      <w:pPr>
        <w:tabs>
          <w:tab w:val="left" w:pos="360"/>
        </w:tabs>
        <w:jc w:val="center"/>
        <w:rPr>
          <w:rFonts w:ascii="Arial" w:hAnsi="Arial" w:cs="Arial"/>
          <w:b/>
          <w:bCs/>
          <w:sz w:val="22"/>
          <w:szCs w:val="14"/>
        </w:rPr>
      </w:pPr>
    </w:p>
    <w:p w:rsidR="00DF3AA7" w:rsidRPr="00236AAC" w:rsidRDefault="00DF3AA7" w:rsidP="00DF3AA7">
      <w:pPr>
        <w:tabs>
          <w:tab w:val="left" w:pos="360"/>
        </w:tabs>
        <w:jc w:val="both"/>
        <w:rPr>
          <w:rFonts w:ascii="Arial" w:hAnsi="Arial" w:cs="Arial"/>
          <w:b/>
          <w:sz w:val="22"/>
          <w:szCs w:val="14"/>
        </w:rPr>
      </w:pPr>
      <w:r w:rsidRPr="00236AAC">
        <w:rPr>
          <w:rFonts w:ascii="Arial" w:hAnsi="Arial" w:cs="Arial"/>
          <w:b/>
          <w:sz w:val="22"/>
          <w:szCs w:val="14"/>
        </w:rPr>
        <w:t>EFICACIA INTERNA Y EXTERNA SOLUCION DE SISTEMAS</w:t>
      </w:r>
    </w:p>
    <w:p w:rsidR="00DF3AA7" w:rsidRDefault="00C818C6" w:rsidP="00DF3AA7">
      <w:pPr>
        <w:tabs>
          <w:tab w:val="left" w:pos="360"/>
        </w:tabs>
        <w:jc w:val="both"/>
        <w:rPr>
          <w:rFonts w:ascii="Arial" w:hAnsi="Arial" w:cs="Arial"/>
          <w:sz w:val="16"/>
          <w:szCs w:val="14"/>
        </w:rPr>
      </w:pPr>
      <w:r>
        <w:rPr>
          <w:noProof/>
        </w:rPr>
        <w:drawing>
          <wp:inline distT="0" distB="0" distL="0" distR="0">
            <wp:extent cx="5001523" cy="2733148"/>
            <wp:effectExtent l="19050" t="0" r="27677" b="10052"/>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F3AA7" w:rsidRDefault="00DF3AA7" w:rsidP="00DF3AA7">
      <w:pPr>
        <w:tabs>
          <w:tab w:val="left" w:pos="360"/>
        </w:tabs>
        <w:jc w:val="both"/>
        <w:rPr>
          <w:rFonts w:ascii="Arial" w:hAnsi="Arial" w:cs="Arial"/>
          <w:sz w:val="16"/>
          <w:szCs w:val="14"/>
        </w:rPr>
      </w:pPr>
    </w:p>
    <w:p w:rsidR="00DF3AA7" w:rsidRPr="00236AAC" w:rsidRDefault="00DF3AA7" w:rsidP="00DF3AA7">
      <w:pPr>
        <w:jc w:val="both"/>
        <w:rPr>
          <w:rFonts w:ascii="Arial" w:hAnsi="Arial" w:cs="Arial"/>
          <w:sz w:val="22"/>
          <w:szCs w:val="16"/>
        </w:rPr>
      </w:pPr>
      <w:r w:rsidRPr="00236AAC">
        <w:rPr>
          <w:rFonts w:ascii="Arial" w:hAnsi="Arial" w:cs="Arial"/>
          <w:sz w:val="22"/>
          <w:szCs w:val="16"/>
        </w:rPr>
        <w:t>Como podemos  observar  este indicador obtuvo un porcentaje del  90%, lo que equivale a:</w:t>
      </w:r>
    </w:p>
    <w:p w:rsidR="00DF3AA7" w:rsidRPr="00236AAC" w:rsidRDefault="00DF3AA7" w:rsidP="00DF3AA7">
      <w:pPr>
        <w:jc w:val="both"/>
        <w:rPr>
          <w:rFonts w:ascii="Arial" w:hAnsi="Arial" w:cs="Arial"/>
          <w:sz w:val="22"/>
          <w:szCs w:val="16"/>
        </w:rPr>
      </w:pPr>
      <w:r w:rsidRPr="00236AAC">
        <w:rPr>
          <w:rFonts w:ascii="Arial" w:hAnsi="Arial" w:cs="Arial"/>
          <w:sz w:val="22"/>
          <w:szCs w:val="16"/>
        </w:rPr>
        <w:t> </w:t>
      </w:r>
    </w:p>
    <w:p w:rsidR="00DF3AA7" w:rsidRPr="00236AAC" w:rsidRDefault="00DF3AA7" w:rsidP="00DF3AA7">
      <w:pPr>
        <w:jc w:val="both"/>
        <w:rPr>
          <w:rFonts w:ascii="Arial" w:hAnsi="Arial" w:cs="Arial"/>
          <w:sz w:val="22"/>
          <w:szCs w:val="16"/>
        </w:rPr>
      </w:pPr>
      <w:r w:rsidRPr="00236AAC">
        <w:rPr>
          <w:rFonts w:ascii="Arial" w:hAnsi="Arial" w:cs="Arial"/>
          <w:sz w:val="22"/>
          <w:szCs w:val="16"/>
        </w:rPr>
        <w:lastRenderedPageBreak/>
        <w:t>Eficacia solución de sistemas a nivel interno: Son las solicitudes que dependen directamente del área de sistemas y mantenimiento de equipos,  se realizaron  19  solicitudes  las cuales  1</w:t>
      </w:r>
      <w:r w:rsidR="00C818C6" w:rsidRPr="00236AAC">
        <w:rPr>
          <w:rFonts w:ascii="Arial" w:hAnsi="Arial" w:cs="Arial"/>
          <w:sz w:val="22"/>
          <w:szCs w:val="16"/>
        </w:rPr>
        <w:t>9 fueron solucionadas y 0</w:t>
      </w:r>
      <w:r w:rsidRPr="00236AAC">
        <w:rPr>
          <w:rFonts w:ascii="Arial" w:hAnsi="Arial" w:cs="Arial"/>
          <w:sz w:val="22"/>
          <w:szCs w:val="16"/>
        </w:rPr>
        <w:t xml:space="preserve"> pendientes por solucionar en lo que tiene que ver con  la impresora aux comercial que no tiene arreglo y  el cambio de red ya se le comunico a l gerencia. por lo que se  colapsa  el sistema e internet.  </w:t>
      </w:r>
    </w:p>
    <w:p w:rsidR="00DF3AA7" w:rsidRPr="00236AAC" w:rsidRDefault="00DF3AA7" w:rsidP="00DF3AA7">
      <w:pPr>
        <w:jc w:val="both"/>
        <w:rPr>
          <w:rFonts w:ascii="Arial" w:hAnsi="Arial" w:cs="Arial"/>
          <w:sz w:val="22"/>
          <w:szCs w:val="16"/>
        </w:rPr>
      </w:pPr>
      <w:r w:rsidRPr="00236AAC">
        <w:rPr>
          <w:rFonts w:ascii="Arial" w:hAnsi="Arial" w:cs="Arial"/>
          <w:sz w:val="22"/>
          <w:szCs w:val="16"/>
        </w:rPr>
        <w:t> </w:t>
      </w:r>
    </w:p>
    <w:p w:rsidR="00DF3AA7" w:rsidRPr="00236AAC" w:rsidRDefault="00DF3AA7" w:rsidP="00DF3AA7">
      <w:pPr>
        <w:pStyle w:val="Textoindependiente"/>
        <w:rPr>
          <w:b/>
          <w:sz w:val="22"/>
        </w:rPr>
      </w:pPr>
    </w:p>
    <w:p w:rsidR="00DF3AA7" w:rsidRPr="00236AAC" w:rsidRDefault="00C818C6" w:rsidP="00DF3AA7">
      <w:pPr>
        <w:pStyle w:val="Textoindependiente"/>
        <w:rPr>
          <w:b/>
          <w:sz w:val="22"/>
        </w:rPr>
      </w:pPr>
      <w:r w:rsidRPr="00236AAC">
        <w:rPr>
          <w:b/>
          <w:sz w:val="22"/>
        </w:rPr>
        <w:t>Efectividad equipos de computo</w:t>
      </w:r>
    </w:p>
    <w:p w:rsidR="00C818C6" w:rsidRDefault="00C818C6" w:rsidP="00DF3AA7">
      <w:pPr>
        <w:pStyle w:val="Textoindependiente"/>
        <w:rPr>
          <w:b/>
        </w:rPr>
      </w:pPr>
      <w:r>
        <w:rPr>
          <w:noProof/>
        </w:rPr>
        <w:drawing>
          <wp:inline distT="0" distB="0" distL="0" distR="0">
            <wp:extent cx="4567767" cy="2650067"/>
            <wp:effectExtent l="19050" t="0" r="23283" b="16933"/>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818C6" w:rsidRDefault="00C818C6" w:rsidP="00DF3AA7">
      <w:pPr>
        <w:pStyle w:val="Textoindependiente"/>
        <w:rPr>
          <w:b/>
        </w:rPr>
      </w:pPr>
    </w:p>
    <w:p w:rsidR="00C818C6" w:rsidRPr="00AC6BE0" w:rsidRDefault="00C818C6" w:rsidP="00C818C6">
      <w:pPr>
        <w:pStyle w:val="Textoindependiente"/>
        <w:rPr>
          <w:sz w:val="22"/>
        </w:rPr>
      </w:pPr>
    </w:p>
    <w:p w:rsidR="00C818C6" w:rsidRPr="00AC6BE0" w:rsidRDefault="00C818C6" w:rsidP="00C818C6">
      <w:pPr>
        <w:pStyle w:val="Textoindependiente"/>
        <w:rPr>
          <w:sz w:val="22"/>
        </w:rPr>
      </w:pPr>
      <w:r w:rsidRPr="00AC6BE0">
        <w:rPr>
          <w:sz w:val="22"/>
        </w:rPr>
        <w:t xml:space="preserve"> La Efectividad Equipos de Computo, teniendo en cuenta los requerimientos </w:t>
      </w:r>
      <w:r w:rsidR="00AC6BE0" w:rsidRPr="00AC6BE0">
        <w:rPr>
          <w:sz w:val="22"/>
        </w:rPr>
        <w:t>mínimos</w:t>
      </w:r>
      <w:r w:rsidRPr="00AC6BE0">
        <w:rPr>
          <w:sz w:val="22"/>
        </w:rPr>
        <w:t xml:space="preserve"> de Hardware y Software  de los equipos del </w:t>
      </w:r>
      <w:r w:rsidR="00AC6BE0" w:rsidRPr="00AC6BE0">
        <w:rPr>
          <w:sz w:val="22"/>
        </w:rPr>
        <w:t>instituto</w:t>
      </w:r>
      <w:r w:rsidRPr="00AC6BE0">
        <w:rPr>
          <w:sz w:val="22"/>
        </w:rPr>
        <w:t xml:space="preserve">,  en el cuarto  trimestre de 2014 ha sido del 87%;  es </w:t>
      </w:r>
      <w:r w:rsidR="00AC6BE0" w:rsidRPr="00AC6BE0">
        <w:rPr>
          <w:sz w:val="22"/>
        </w:rPr>
        <w:t>decir,</w:t>
      </w:r>
      <w:r w:rsidRPr="00AC6BE0">
        <w:rPr>
          <w:sz w:val="22"/>
        </w:rPr>
        <w:t xml:space="preserve"> comparado con el trimestre pasado </w:t>
      </w:r>
      <w:r w:rsidR="00AC6BE0" w:rsidRPr="00AC6BE0">
        <w:rPr>
          <w:sz w:val="22"/>
        </w:rPr>
        <w:t>subió</w:t>
      </w:r>
      <w:r w:rsidRPr="00AC6BE0">
        <w:rPr>
          <w:sz w:val="22"/>
        </w:rPr>
        <w:t xml:space="preserve"> el indicador debido a que se </w:t>
      </w:r>
      <w:r w:rsidR="00AC6BE0" w:rsidRPr="00AC6BE0">
        <w:rPr>
          <w:sz w:val="22"/>
        </w:rPr>
        <w:t>actualizaron</w:t>
      </w:r>
      <w:r w:rsidRPr="00AC6BE0">
        <w:rPr>
          <w:sz w:val="22"/>
        </w:rPr>
        <w:t xml:space="preserve"> seis equipos de computo para las oficinas </w:t>
      </w:r>
      <w:r w:rsidR="00AC6BE0" w:rsidRPr="00AC6BE0">
        <w:rPr>
          <w:sz w:val="22"/>
        </w:rPr>
        <w:t>más</w:t>
      </w:r>
      <w:r w:rsidRPr="00AC6BE0">
        <w:rPr>
          <w:sz w:val="22"/>
        </w:rPr>
        <w:t xml:space="preserve"> necesitadas, de todas formas, se requiere de la </w:t>
      </w:r>
      <w:r w:rsidR="00AC6BE0" w:rsidRPr="00AC6BE0">
        <w:rPr>
          <w:sz w:val="22"/>
        </w:rPr>
        <w:t>actualización</w:t>
      </w:r>
      <w:r w:rsidRPr="00AC6BE0">
        <w:rPr>
          <w:sz w:val="22"/>
        </w:rPr>
        <w:t xml:space="preserve"> de algunos equipos de computo.</w:t>
      </w:r>
    </w:p>
    <w:p w:rsidR="00C818C6" w:rsidRPr="00AC6BE0" w:rsidRDefault="00C818C6" w:rsidP="00C818C6">
      <w:pPr>
        <w:pStyle w:val="Textoindependiente"/>
        <w:rPr>
          <w:sz w:val="22"/>
        </w:rPr>
      </w:pPr>
      <w:r w:rsidRPr="00AC6BE0">
        <w:rPr>
          <w:sz w:val="22"/>
        </w:rPr>
        <w:t xml:space="preserve"> </w:t>
      </w:r>
    </w:p>
    <w:p w:rsidR="00DF3AA7" w:rsidRDefault="00DF3AA7" w:rsidP="00AC6BE0">
      <w:pPr>
        <w:pStyle w:val="Textoindependiente"/>
        <w:jc w:val="center"/>
        <w:rPr>
          <w:b/>
        </w:rPr>
      </w:pPr>
      <w:r>
        <w:rPr>
          <w:b/>
          <w:noProof/>
        </w:rPr>
        <w:drawing>
          <wp:inline distT="0" distB="0" distL="0" distR="0">
            <wp:extent cx="3828331" cy="2632556"/>
            <wp:effectExtent l="19050" t="0" r="719" b="0"/>
            <wp:docPr id="416542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3830526" cy="2634066"/>
                    </a:xfrm>
                    <a:prstGeom prst="rect">
                      <a:avLst/>
                    </a:prstGeom>
                    <a:noFill/>
                  </pic:spPr>
                </pic:pic>
              </a:graphicData>
            </a:graphic>
          </wp:inline>
        </w:drawing>
      </w:r>
    </w:p>
    <w:p w:rsidR="00DF3AA7" w:rsidRPr="00AC6BE0" w:rsidRDefault="00DF3AA7" w:rsidP="00DF3AA7">
      <w:pPr>
        <w:pStyle w:val="Textoindependiente"/>
        <w:rPr>
          <w:sz w:val="22"/>
        </w:rPr>
      </w:pPr>
    </w:p>
    <w:p w:rsidR="00DF3AA7" w:rsidRPr="00AC6BE0" w:rsidRDefault="00DF3AA7" w:rsidP="00DF3AA7">
      <w:pPr>
        <w:pStyle w:val="Textoindependiente"/>
        <w:rPr>
          <w:sz w:val="22"/>
          <w:lang w:val="es-CO"/>
        </w:rPr>
      </w:pPr>
      <w:r w:rsidRPr="00AC6BE0">
        <w:rPr>
          <w:sz w:val="22"/>
        </w:rPr>
        <w:t xml:space="preserve">Eficacia copias de seguridad, presenta un resultado del  100%  llegando a la  meta establecida como sobresaliente, pudiéndose cumplir con lo establecido para este periodo. La copia de seguridad se realizan  en  dos  discos duros en el  servidor  con, sus respectivos discos espejo y adicionalmente  en  un disco externo. las copias se </w:t>
      </w:r>
      <w:r w:rsidRPr="00AC6BE0">
        <w:rPr>
          <w:sz w:val="22"/>
        </w:rPr>
        <w:lastRenderedPageBreak/>
        <w:t>realizan automáticamente todos los días  en el servidor y se realizan revisiones a las copias a través de la firma Tecnoinformatica y Numérica.</w:t>
      </w:r>
    </w:p>
    <w:p w:rsidR="00DF3AA7" w:rsidRPr="00AC6BE0" w:rsidRDefault="00DF3AA7" w:rsidP="00DF3AA7">
      <w:pPr>
        <w:pStyle w:val="Textoindependiente"/>
        <w:rPr>
          <w:sz w:val="22"/>
        </w:rPr>
      </w:pPr>
    </w:p>
    <w:p w:rsidR="00DF3AA7" w:rsidRPr="00AC6BE0" w:rsidRDefault="00C818C6" w:rsidP="00DF3AA7">
      <w:pPr>
        <w:pStyle w:val="Textoindependiente"/>
        <w:rPr>
          <w:b/>
          <w:sz w:val="22"/>
        </w:rPr>
      </w:pPr>
      <w:r w:rsidRPr="00AC6BE0">
        <w:rPr>
          <w:b/>
          <w:sz w:val="22"/>
        </w:rPr>
        <w:t>EFECTIVIDAD DE SISTEMAS</w:t>
      </w:r>
    </w:p>
    <w:p w:rsidR="00DF3AA7" w:rsidRDefault="00DF3AA7" w:rsidP="00DF3AA7">
      <w:pPr>
        <w:pStyle w:val="Textoindependiente"/>
        <w:rPr>
          <w:b/>
        </w:rPr>
      </w:pPr>
    </w:p>
    <w:p w:rsidR="00DF3AA7" w:rsidRDefault="00C818C6" w:rsidP="00DF3AA7">
      <w:pPr>
        <w:pStyle w:val="Textoindependiente"/>
        <w:rPr>
          <w:b/>
        </w:rPr>
      </w:pPr>
      <w:r>
        <w:rPr>
          <w:noProof/>
        </w:rPr>
        <w:drawing>
          <wp:inline distT="0" distB="0" distL="0" distR="0">
            <wp:extent cx="4643966" cy="2650067"/>
            <wp:effectExtent l="19050" t="0" r="23284" b="16933"/>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F3AA7" w:rsidRPr="00AC6BE0" w:rsidRDefault="00DF3AA7" w:rsidP="00DF3AA7">
      <w:pPr>
        <w:pStyle w:val="Textoindependiente"/>
        <w:rPr>
          <w:b/>
          <w:sz w:val="22"/>
        </w:rPr>
      </w:pPr>
    </w:p>
    <w:p w:rsidR="00C818C6" w:rsidRPr="00AC6BE0" w:rsidRDefault="00C818C6" w:rsidP="00C818C6">
      <w:pPr>
        <w:pStyle w:val="Textoindependiente"/>
        <w:rPr>
          <w:sz w:val="22"/>
          <w:lang w:val="es-ES_tradnl"/>
        </w:rPr>
      </w:pPr>
      <w:r w:rsidRPr="00AC6BE0">
        <w:rPr>
          <w:sz w:val="22"/>
        </w:rPr>
        <w:t xml:space="preserve">La efectividad en el área de sistemas con relación a las soluciuones brindadas por el área de sistemas en el  cuarto  trimestre del 2014 ha sido del  89% lo cual presenta un comportamiento llegando a la excelencia,  la parte de  cableado estructurado se encuentra en proceso de </w:t>
      </w:r>
      <w:r w:rsidR="00AC6BE0" w:rsidRPr="00AC6BE0">
        <w:rPr>
          <w:sz w:val="22"/>
        </w:rPr>
        <w:t>contratación</w:t>
      </w:r>
      <w:r w:rsidRPr="00AC6BE0">
        <w:rPr>
          <w:sz w:val="22"/>
        </w:rPr>
        <w:t xml:space="preserve"> en el SECOP el cual fue declarado desierto porque no se presento </w:t>
      </w:r>
      <w:r w:rsidR="00AC6BE0" w:rsidRPr="00AC6BE0">
        <w:rPr>
          <w:sz w:val="22"/>
        </w:rPr>
        <w:t>ningún</w:t>
      </w:r>
      <w:r w:rsidRPr="00AC6BE0">
        <w:rPr>
          <w:sz w:val="22"/>
        </w:rPr>
        <w:t xml:space="preserve"> proponente.</w:t>
      </w:r>
    </w:p>
    <w:p w:rsidR="00DF3AA7" w:rsidRPr="00AC6BE0" w:rsidRDefault="00DF3AA7" w:rsidP="00DF3AA7">
      <w:pPr>
        <w:pStyle w:val="Textoindependiente"/>
        <w:rPr>
          <w:sz w:val="22"/>
        </w:rPr>
      </w:pPr>
    </w:p>
    <w:p w:rsidR="00DF3AA7" w:rsidRPr="00AC6BE0" w:rsidRDefault="00DF3AA7" w:rsidP="00DF3AA7">
      <w:pPr>
        <w:pStyle w:val="Textoindependiente"/>
        <w:jc w:val="center"/>
        <w:rPr>
          <w:sz w:val="22"/>
        </w:rPr>
      </w:pPr>
    </w:p>
    <w:p w:rsidR="00DF3AA7" w:rsidRPr="00AC6BE0" w:rsidRDefault="00DF3AA7" w:rsidP="00DF3AA7">
      <w:pPr>
        <w:pStyle w:val="Textoindependiente"/>
        <w:rPr>
          <w:b/>
          <w:sz w:val="22"/>
        </w:rPr>
      </w:pPr>
      <w:r w:rsidRPr="00AC6BE0">
        <w:rPr>
          <w:b/>
          <w:sz w:val="22"/>
        </w:rPr>
        <w:t>CUMPLIMIENTO CRONOGRAMA DE MANTENIMIENTO</w:t>
      </w:r>
    </w:p>
    <w:p w:rsidR="00DF3AA7" w:rsidRPr="00AC6BE0" w:rsidRDefault="00DF3AA7" w:rsidP="00DF3AA7">
      <w:pPr>
        <w:pStyle w:val="Textoindependiente"/>
        <w:rPr>
          <w:b/>
          <w:sz w:val="22"/>
        </w:rPr>
      </w:pPr>
    </w:p>
    <w:p w:rsidR="00DF3AA7" w:rsidRDefault="00C818C6" w:rsidP="00DF3AA7">
      <w:pPr>
        <w:pStyle w:val="Textoindependiente"/>
        <w:jc w:val="left"/>
      </w:pPr>
      <w:r>
        <w:rPr>
          <w:noProof/>
        </w:rPr>
        <w:drawing>
          <wp:inline distT="0" distB="0" distL="0" distR="0">
            <wp:extent cx="4580467" cy="2667000"/>
            <wp:effectExtent l="0" t="0" r="17145" b="2540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F3AA7" w:rsidRDefault="00DF3AA7" w:rsidP="00DF3AA7">
      <w:pPr>
        <w:pStyle w:val="Textoindependiente"/>
        <w:jc w:val="left"/>
      </w:pPr>
    </w:p>
    <w:p w:rsidR="00DF3AA7" w:rsidRPr="00AC6BE0" w:rsidRDefault="00DF3AA7" w:rsidP="00DF3AA7">
      <w:pPr>
        <w:pStyle w:val="Textoindependiente"/>
        <w:rPr>
          <w:sz w:val="22"/>
          <w:lang w:val="es-CO"/>
        </w:rPr>
      </w:pPr>
      <w:r w:rsidRPr="00AC6BE0">
        <w:rPr>
          <w:sz w:val="22"/>
        </w:rPr>
        <w:t xml:space="preserve">En este  </w:t>
      </w:r>
      <w:r w:rsidR="00C818C6" w:rsidRPr="00AC6BE0">
        <w:rPr>
          <w:sz w:val="22"/>
        </w:rPr>
        <w:t>segundo semestre de 2014</w:t>
      </w:r>
      <w:r w:rsidRPr="00AC6BE0">
        <w:rPr>
          <w:sz w:val="22"/>
        </w:rPr>
        <w:t xml:space="preserve">  presenta un resultado del  100% cumpliendo  a cabalidad con el contrato de mantenimiento de  equipos .pr</w:t>
      </w:r>
      <w:r w:rsidR="00C818C6" w:rsidRPr="00AC6BE0">
        <w:rPr>
          <w:sz w:val="22"/>
        </w:rPr>
        <w:t>ogramado para el 2014</w:t>
      </w:r>
      <w:r w:rsidRPr="00AC6BE0">
        <w:rPr>
          <w:sz w:val="22"/>
        </w:rPr>
        <w:t>,</w:t>
      </w:r>
    </w:p>
    <w:p w:rsidR="00DF3AA7" w:rsidRPr="00AC6BE0" w:rsidRDefault="00DF3AA7" w:rsidP="00DF3AA7">
      <w:pPr>
        <w:pStyle w:val="Textoindependiente"/>
        <w:rPr>
          <w:sz w:val="22"/>
          <w:lang w:val="es-CO"/>
        </w:rPr>
      </w:pPr>
    </w:p>
    <w:p w:rsidR="00DF3AA7" w:rsidRPr="00AC6BE0" w:rsidRDefault="00DF3AA7" w:rsidP="00DF3AA7">
      <w:pPr>
        <w:pStyle w:val="Textoindependiente"/>
        <w:rPr>
          <w:sz w:val="22"/>
        </w:rPr>
      </w:pPr>
    </w:p>
    <w:p w:rsidR="00DF3AA7" w:rsidRPr="00AC6BE0" w:rsidRDefault="00DF3AA7" w:rsidP="00DF3AA7">
      <w:pPr>
        <w:pStyle w:val="Textoindependiente"/>
        <w:rPr>
          <w:sz w:val="22"/>
        </w:rPr>
      </w:pPr>
    </w:p>
    <w:p w:rsidR="00C818C6" w:rsidRPr="00AC6BE0" w:rsidRDefault="00C818C6" w:rsidP="00C818C6">
      <w:pPr>
        <w:tabs>
          <w:tab w:val="left" w:pos="360"/>
        </w:tabs>
        <w:jc w:val="both"/>
        <w:rPr>
          <w:rFonts w:ascii="Arial" w:hAnsi="Arial" w:cs="Arial"/>
          <w:b/>
          <w:bCs/>
          <w:sz w:val="22"/>
          <w:szCs w:val="14"/>
        </w:rPr>
      </w:pPr>
      <w:r w:rsidRPr="00AC6BE0">
        <w:rPr>
          <w:rFonts w:ascii="Arial" w:hAnsi="Arial" w:cs="Arial"/>
          <w:b/>
          <w:bCs/>
          <w:sz w:val="22"/>
          <w:szCs w:val="14"/>
        </w:rPr>
        <w:lastRenderedPageBreak/>
        <w:t>EFICACIA SOLUCION SISTEMAS A LOS EQUIPOS DE COMPUTO TANTO DE HARDWARE COMO</w:t>
      </w:r>
      <w:r w:rsidR="00AC6BE0" w:rsidRPr="00AC6BE0">
        <w:rPr>
          <w:rFonts w:ascii="Arial" w:hAnsi="Arial" w:cs="Arial"/>
          <w:b/>
          <w:bCs/>
          <w:sz w:val="22"/>
          <w:szCs w:val="14"/>
        </w:rPr>
        <w:t xml:space="preserve"> SOFTWARE</w:t>
      </w:r>
    </w:p>
    <w:p w:rsidR="00AC6BE0" w:rsidRPr="00AC6BE0" w:rsidRDefault="00AC6BE0" w:rsidP="00C818C6">
      <w:pPr>
        <w:tabs>
          <w:tab w:val="left" w:pos="360"/>
        </w:tabs>
        <w:jc w:val="both"/>
        <w:rPr>
          <w:rFonts w:ascii="Arial" w:hAnsi="Arial" w:cs="Arial"/>
          <w:sz w:val="22"/>
          <w:szCs w:val="14"/>
          <w:lang w:val="es-ES_tradnl"/>
        </w:rPr>
      </w:pPr>
    </w:p>
    <w:p w:rsidR="00C818C6" w:rsidRDefault="00C818C6" w:rsidP="00C818C6">
      <w:pPr>
        <w:tabs>
          <w:tab w:val="left" w:pos="360"/>
        </w:tabs>
        <w:jc w:val="both"/>
        <w:rPr>
          <w:rFonts w:ascii="Arial" w:hAnsi="Arial" w:cs="Arial"/>
          <w:sz w:val="22"/>
          <w:szCs w:val="14"/>
        </w:rPr>
      </w:pPr>
      <w:r w:rsidRPr="00AC6BE0">
        <w:rPr>
          <w:rFonts w:ascii="Arial" w:hAnsi="Arial" w:cs="Arial"/>
          <w:sz w:val="22"/>
          <w:szCs w:val="14"/>
        </w:rPr>
        <w:t>Como podemos  observar  este indicador obtuvo un porcentaje del  100%, lo que equivale a:</w:t>
      </w:r>
    </w:p>
    <w:p w:rsidR="00AC6BE0" w:rsidRPr="00AC6BE0" w:rsidRDefault="00AC6BE0" w:rsidP="00C818C6">
      <w:pPr>
        <w:tabs>
          <w:tab w:val="left" w:pos="360"/>
        </w:tabs>
        <w:jc w:val="both"/>
        <w:rPr>
          <w:rFonts w:ascii="Arial" w:hAnsi="Arial" w:cs="Arial"/>
          <w:sz w:val="22"/>
          <w:szCs w:val="14"/>
          <w:lang w:val="es-ES_tradnl"/>
        </w:rPr>
      </w:pPr>
    </w:p>
    <w:p w:rsidR="00C818C6" w:rsidRDefault="00C818C6" w:rsidP="00C818C6">
      <w:pPr>
        <w:tabs>
          <w:tab w:val="left" w:pos="360"/>
        </w:tabs>
        <w:jc w:val="both"/>
        <w:rPr>
          <w:rFonts w:ascii="Arial" w:hAnsi="Arial" w:cs="Arial"/>
          <w:sz w:val="22"/>
          <w:szCs w:val="14"/>
        </w:rPr>
      </w:pPr>
      <w:r w:rsidRPr="00AC6BE0">
        <w:rPr>
          <w:rFonts w:ascii="Arial" w:hAnsi="Arial" w:cs="Arial"/>
          <w:bCs/>
          <w:sz w:val="22"/>
          <w:szCs w:val="14"/>
        </w:rPr>
        <w:t>Eficacia solución de sistemas a nivel interno</w:t>
      </w:r>
      <w:r w:rsidRPr="00AC6BE0">
        <w:rPr>
          <w:rFonts w:ascii="Arial" w:hAnsi="Arial" w:cs="Arial"/>
          <w:sz w:val="22"/>
          <w:szCs w:val="14"/>
        </w:rPr>
        <w:t xml:space="preserve">: Son las solicitudes que dependen directamente del área de sistemas y mantenimiento de equipos ,  se realizaron  28  solicitudes  las cuales  fueron solucionadas  28;  el cableado estructurad de datos se encuentra en proceso de </w:t>
      </w:r>
      <w:r w:rsidR="00AC6BE0" w:rsidRPr="00AC6BE0">
        <w:rPr>
          <w:rFonts w:ascii="Arial" w:hAnsi="Arial" w:cs="Arial"/>
          <w:sz w:val="22"/>
          <w:szCs w:val="14"/>
        </w:rPr>
        <w:t>contratación</w:t>
      </w:r>
      <w:r w:rsidRPr="00AC6BE0">
        <w:rPr>
          <w:rFonts w:ascii="Arial" w:hAnsi="Arial" w:cs="Arial"/>
          <w:sz w:val="22"/>
          <w:szCs w:val="14"/>
        </w:rPr>
        <w:t xml:space="preserve"> en el SECOP el cual fue declarado desierto debido a que no hubieron proponentes.</w:t>
      </w:r>
    </w:p>
    <w:p w:rsidR="00AC6BE0" w:rsidRPr="00AC6BE0" w:rsidRDefault="00AC6BE0" w:rsidP="00C818C6">
      <w:pPr>
        <w:tabs>
          <w:tab w:val="left" w:pos="360"/>
        </w:tabs>
        <w:jc w:val="both"/>
        <w:rPr>
          <w:rFonts w:ascii="Arial" w:hAnsi="Arial" w:cs="Arial"/>
          <w:sz w:val="22"/>
          <w:szCs w:val="14"/>
          <w:lang w:val="es-ES_tradnl"/>
        </w:rPr>
      </w:pPr>
    </w:p>
    <w:p w:rsidR="00DF3AA7" w:rsidRDefault="00C818C6" w:rsidP="00DF3AA7">
      <w:pPr>
        <w:tabs>
          <w:tab w:val="left" w:pos="360"/>
        </w:tabs>
        <w:jc w:val="both"/>
        <w:rPr>
          <w:rFonts w:ascii="Arial" w:hAnsi="Arial" w:cs="Arial"/>
          <w:b/>
          <w:bCs/>
          <w:color w:val="008000"/>
          <w:sz w:val="16"/>
          <w:szCs w:val="14"/>
        </w:rPr>
      </w:pPr>
      <w:r>
        <w:rPr>
          <w:noProof/>
        </w:rPr>
        <w:drawing>
          <wp:inline distT="0" distB="0" distL="0" distR="0">
            <wp:extent cx="4555067" cy="2734733"/>
            <wp:effectExtent l="19050" t="0" r="16933" b="27517"/>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818C6" w:rsidRPr="00C818C6" w:rsidRDefault="00C818C6" w:rsidP="00DF3AA7">
      <w:pPr>
        <w:rPr>
          <w:rFonts w:ascii="Arial" w:hAnsi="Arial" w:cs="Arial"/>
          <w:b/>
          <w:bCs/>
          <w:sz w:val="16"/>
          <w:szCs w:val="14"/>
        </w:rPr>
      </w:pPr>
    </w:p>
    <w:p w:rsidR="00C818C6" w:rsidRPr="00AC6BE0" w:rsidRDefault="00C818C6" w:rsidP="00C818C6">
      <w:pPr>
        <w:rPr>
          <w:rFonts w:ascii="Arial" w:hAnsi="Arial" w:cs="Arial"/>
          <w:b/>
          <w:bCs/>
          <w:sz w:val="22"/>
          <w:szCs w:val="14"/>
        </w:rPr>
      </w:pPr>
      <w:r w:rsidRPr="00AC6BE0">
        <w:rPr>
          <w:rFonts w:ascii="Arial" w:hAnsi="Arial" w:cs="Arial"/>
          <w:b/>
          <w:bCs/>
          <w:sz w:val="22"/>
          <w:szCs w:val="14"/>
        </w:rPr>
        <w:t>%EFICACIA SOLUCION NECESIDADES AL SISTEMA FINANCIERO XEO:</w:t>
      </w:r>
    </w:p>
    <w:p w:rsidR="00C818C6" w:rsidRPr="00AC6BE0" w:rsidRDefault="00C818C6" w:rsidP="00C818C6">
      <w:pPr>
        <w:rPr>
          <w:rFonts w:ascii="Arial" w:hAnsi="Arial" w:cs="Arial"/>
          <w:bCs/>
          <w:sz w:val="22"/>
          <w:szCs w:val="14"/>
        </w:rPr>
      </w:pPr>
    </w:p>
    <w:p w:rsidR="00C818C6" w:rsidRDefault="00C818C6" w:rsidP="00C818C6">
      <w:pPr>
        <w:rPr>
          <w:rFonts w:ascii="Arial" w:hAnsi="Arial" w:cs="Arial"/>
          <w:bCs/>
          <w:sz w:val="22"/>
          <w:szCs w:val="14"/>
        </w:rPr>
      </w:pPr>
      <w:r w:rsidRPr="00AC6BE0">
        <w:rPr>
          <w:rFonts w:ascii="Arial" w:hAnsi="Arial" w:cs="Arial"/>
          <w:bCs/>
          <w:sz w:val="22"/>
          <w:szCs w:val="14"/>
        </w:rPr>
        <w:t xml:space="preserve"> Como podemos </w:t>
      </w:r>
      <w:r w:rsidR="00AC6BE0" w:rsidRPr="00AC6BE0">
        <w:rPr>
          <w:rFonts w:ascii="Arial" w:hAnsi="Arial" w:cs="Arial"/>
          <w:bCs/>
          <w:sz w:val="22"/>
          <w:szCs w:val="14"/>
        </w:rPr>
        <w:t>observar</w:t>
      </w:r>
      <w:r w:rsidRPr="00AC6BE0">
        <w:rPr>
          <w:rFonts w:ascii="Arial" w:hAnsi="Arial" w:cs="Arial"/>
          <w:bCs/>
          <w:sz w:val="22"/>
          <w:szCs w:val="14"/>
        </w:rPr>
        <w:t xml:space="preserve"> este indicador obtuvo un porcentaje del 81% lo que equivale:</w:t>
      </w:r>
    </w:p>
    <w:p w:rsidR="00AC6BE0" w:rsidRPr="00AC6BE0" w:rsidRDefault="00AC6BE0" w:rsidP="00C818C6">
      <w:pPr>
        <w:rPr>
          <w:rFonts w:ascii="Arial" w:hAnsi="Arial" w:cs="Arial"/>
          <w:bCs/>
          <w:sz w:val="22"/>
          <w:szCs w:val="14"/>
        </w:rPr>
      </w:pPr>
    </w:p>
    <w:p w:rsidR="00C818C6" w:rsidRDefault="00C818C6" w:rsidP="00C818C6">
      <w:pPr>
        <w:rPr>
          <w:rFonts w:ascii="Arial" w:hAnsi="Arial" w:cs="Arial"/>
          <w:bCs/>
          <w:sz w:val="22"/>
          <w:szCs w:val="14"/>
        </w:rPr>
      </w:pPr>
      <w:r w:rsidRPr="00AC6BE0">
        <w:rPr>
          <w:rFonts w:ascii="Arial" w:hAnsi="Arial" w:cs="Arial"/>
          <w:bCs/>
          <w:sz w:val="22"/>
          <w:szCs w:val="14"/>
        </w:rPr>
        <w:t xml:space="preserve"> Eficacia solución de sistemas a nivel externo: Son las solicitudes referentes al Software Financiero XEO , al  cuarto trimestres  del  2014,  se realizaron  16 solicitudes por escrito , las cuales fueron solucionadas 13, y 3  </w:t>
      </w:r>
      <w:r w:rsidR="00AC6BE0" w:rsidRPr="00AC6BE0">
        <w:rPr>
          <w:rFonts w:ascii="Arial" w:hAnsi="Arial" w:cs="Arial"/>
          <w:bCs/>
          <w:sz w:val="22"/>
          <w:szCs w:val="14"/>
        </w:rPr>
        <w:t>están</w:t>
      </w:r>
      <w:r w:rsidRPr="00AC6BE0">
        <w:rPr>
          <w:rFonts w:ascii="Arial" w:hAnsi="Arial" w:cs="Arial"/>
          <w:bCs/>
          <w:sz w:val="22"/>
          <w:szCs w:val="14"/>
        </w:rPr>
        <w:t xml:space="preserve"> pendientes  por solucionar .</w:t>
      </w:r>
    </w:p>
    <w:p w:rsidR="00AC6BE0" w:rsidRDefault="00AC6BE0" w:rsidP="00C818C6">
      <w:pPr>
        <w:rPr>
          <w:rFonts w:ascii="Arial" w:hAnsi="Arial" w:cs="Arial"/>
          <w:bCs/>
          <w:sz w:val="22"/>
          <w:szCs w:val="14"/>
        </w:rPr>
      </w:pPr>
    </w:p>
    <w:p w:rsidR="00C818C6" w:rsidRPr="00AC6BE0" w:rsidRDefault="00C818C6" w:rsidP="00C818C6">
      <w:pPr>
        <w:rPr>
          <w:rFonts w:ascii="Arial" w:hAnsi="Arial" w:cs="Arial"/>
          <w:bCs/>
          <w:sz w:val="22"/>
          <w:szCs w:val="14"/>
        </w:rPr>
      </w:pPr>
      <w:r w:rsidRPr="00AC6BE0">
        <w:rPr>
          <w:rFonts w:ascii="Arial" w:hAnsi="Arial" w:cs="Arial"/>
          <w:bCs/>
          <w:sz w:val="22"/>
          <w:szCs w:val="14"/>
        </w:rPr>
        <w:t xml:space="preserve">La Empresa Tecno informática a través de visitas presenciales, vía telefónica y vía internet han venido solucionando  las </w:t>
      </w:r>
      <w:r w:rsidR="00AC6BE0" w:rsidRPr="00AC6BE0">
        <w:rPr>
          <w:rFonts w:ascii="Arial" w:hAnsi="Arial" w:cs="Arial"/>
          <w:bCs/>
          <w:sz w:val="22"/>
          <w:szCs w:val="14"/>
        </w:rPr>
        <w:t>inconsistencias.</w:t>
      </w:r>
    </w:p>
    <w:p w:rsidR="00C818C6" w:rsidRPr="00AC6BE0" w:rsidRDefault="00C818C6" w:rsidP="00C818C6">
      <w:pPr>
        <w:rPr>
          <w:rFonts w:ascii="Arial" w:hAnsi="Arial" w:cs="Arial"/>
          <w:bCs/>
          <w:color w:val="008000"/>
          <w:sz w:val="22"/>
          <w:szCs w:val="14"/>
        </w:rPr>
      </w:pPr>
      <w:r w:rsidRPr="00AC6BE0">
        <w:rPr>
          <w:rFonts w:ascii="Arial" w:hAnsi="Arial" w:cs="Arial"/>
          <w:bCs/>
          <w:color w:val="008000"/>
          <w:sz w:val="22"/>
          <w:szCs w:val="14"/>
        </w:rPr>
        <w:t xml:space="preserve"> </w:t>
      </w:r>
    </w:p>
    <w:p w:rsidR="00DF3AA7" w:rsidRDefault="00C818C6" w:rsidP="00DF3AA7">
      <w:pPr>
        <w:rPr>
          <w:rFonts w:ascii="Arial" w:hAnsi="Arial" w:cs="Arial"/>
          <w:b/>
          <w:bCs/>
          <w:color w:val="008000"/>
          <w:sz w:val="16"/>
          <w:szCs w:val="14"/>
        </w:rPr>
      </w:pPr>
      <w:r>
        <w:rPr>
          <w:noProof/>
        </w:rPr>
        <w:lastRenderedPageBreak/>
        <w:drawing>
          <wp:inline distT="0" distB="0" distL="0" distR="0">
            <wp:extent cx="4593166" cy="2760133"/>
            <wp:effectExtent l="19050" t="0" r="16934" b="21167"/>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C6BE0" w:rsidRDefault="00AC6BE0" w:rsidP="00DF3AA7">
      <w:pPr>
        <w:rPr>
          <w:rFonts w:ascii="Arial" w:hAnsi="Arial" w:cs="Arial"/>
          <w:b/>
          <w:bCs/>
          <w:color w:val="008000"/>
          <w:sz w:val="16"/>
          <w:szCs w:val="14"/>
        </w:rPr>
      </w:pPr>
    </w:p>
    <w:p w:rsidR="00AC6BE0" w:rsidRDefault="00AC6BE0" w:rsidP="00DF3AA7">
      <w:pPr>
        <w:rPr>
          <w:rFonts w:ascii="Arial" w:hAnsi="Arial" w:cs="Arial"/>
          <w:b/>
          <w:bCs/>
          <w:color w:val="008000"/>
          <w:sz w:val="16"/>
          <w:szCs w:val="14"/>
        </w:rPr>
      </w:pPr>
    </w:p>
    <w:p w:rsidR="00DF3AA7" w:rsidRPr="00AC6BE0" w:rsidRDefault="00DF3AA7" w:rsidP="00DF3AA7">
      <w:pPr>
        <w:tabs>
          <w:tab w:val="left" w:pos="360"/>
        </w:tabs>
        <w:jc w:val="both"/>
        <w:rPr>
          <w:rFonts w:ascii="Arial" w:hAnsi="Arial" w:cs="Arial"/>
          <w:b/>
          <w:bCs/>
          <w:color w:val="008000"/>
          <w:sz w:val="22"/>
          <w:szCs w:val="22"/>
        </w:rPr>
      </w:pPr>
      <w:r w:rsidRPr="00AC6BE0">
        <w:rPr>
          <w:rFonts w:ascii="Arial" w:hAnsi="Arial" w:cs="Arial"/>
          <w:b/>
          <w:bCs/>
          <w:color w:val="008000"/>
          <w:sz w:val="22"/>
          <w:szCs w:val="22"/>
        </w:rPr>
        <w:t>4.7 PROCESO DE COMPRAS Y MANEJO DE INVENTARIOS</w:t>
      </w:r>
    </w:p>
    <w:p w:rsidR="00DF3AA7" w:rsidRPr="00AC6BE0" w:rsidRDefault="00DF3AA7" w:rsidP="00DF3AA7">
      <w:pPr>
        <w:tabs>
          <w:tab w:val="left" w:pos="360"/>
        </w:tabs>
        <w:jc w:val="both"/>
        <w:rPr>
          <w:rFonts w:ascii="Arial" w:hAnsi="Arial" w:cs="Arial"/>
          <w:b/>
          <w:bCs/>
          <w:sz w:val="22"/>
          <w:szCs w:val="22"/>
        </w:rPr>
      </w:pPr>
    </w:p>
    <w:p w:rsidR="00DF3AA7" w:rsidRPr="00AC6BE0" w:rsidRDefault="00DF3AA7" w:rsidP="00825CAC">
      <w:pPr>
        <w:tabs>
          <w:tab w:val="left" w:pos="360"/>
        </w:tabs>
        <w:jc w:val="both"/>
        <w:rPr>
          <w:rFonts w:ascii="Arial" w:hAnsi="Arial" w:cs="Arial"/>
          <w:sz w:val="22"/>
          <w:szCs w:val="22"/>
        </w:rPr>
      </w:pPr>
      <w:r w:rsidRPr="00AC6BE0">
        <w:rPr>
          <w:rFonts w:ascii="Arial" w:hAnsi="Arial" w:cs="Arial"/>
          <w:sz w:val="22"/>
          <w:szCs w:val="22"/>
        </w:rPr>
        <w:t>La Dra.  Cecilia Virviescas, entrego informe de Auto evaluación de la Gestión y  expuso el resultado de los indicadores así:</w:t>
      </w:r>
    </w:p>
    <w:p w:rsidR="00AC6BE0" w:rsidRDefault="00AC6BE0" w:rsidP="00DF3AA7">
      <w:pPr>
        <w:pStyle w:val="Ttulo5"/>
        <w:rPr>
          <w:rFonts w:ascii="Arial" w:hAnsi="Arial" w:cs="Arial"/>
          <w:sz w:val="22"/>
          <w:szCs w:val="22"/>
        </w:rPr>
      </w:pPr>
    </w:p>
    <w:p w:rsidR="00DF3AA7" w:rsidRPr="00AC6BE0" w:rsidRDefault="00DF3AA7" w:rsidP="00DF3AA7">
      <w:pPr>
        <w:pStyle w:val="Ttulo5"/>
        <w:rPr>
          <w:rFonts w:ascii="Arial" w:hAnsi="Arial" w:cs="Arial"/>
          <w:sz w:val="22"/>
          <w:szCs w:val="22"/>
        </w:rPr>
      </w:pPr>
      <w:r w:rsidRPr="00AC6BE0">
        <w:rPr>
          <w:rFonts w:ascii="Arial" w:hAnsi="Arial" w:cs="Arial"/>
          <w:sz w:val="22"/>
          <w:szCs w:val="22"/>
        </w:rPr>
        <w:t>PROMEDIO EVALUACIÓN PROVEEDORES</w:t>
      </w:r>
    </w:p>
    <w:p w:rsidR="00DF3AA7" w:rsidRDefault="00825CAC" w:rsidP="00AC6BE0">
      <w:pPr>
        <w:tabs>
          <w:tab w:val="left" w:pos="360"/>
        </w:tabs>
        <w:jc w:val="center"/>
        <w:rPr>
          <w:rFonts w:ascii="Arial" w:hAnsi="Arial" w:cs="Arial"/>
          <w:sz w:val="16"/>
          <w:szCs w:val="14"/>
        </w:rPr>
      </w:pPr>
      <w:r>
        <w:rPr>
          <w:noProof/>
        </w:rPr>
        <w:drawing>
          <wp:inline distT="0" distB="0" distL="0" distR="0">
            <wp:extent cx="4389967" cy="2747433"/>
            <wp:effectExtent l="19050" t="0" r="10583" b="14817"/>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F3AA7" w:rsidRDefault="00DF3AA7" w:rsidP="00DF3AA7">
      <w:pPr>
        <w:tabs>
          <w:tab w:val="left" w:pos="360"/>
        </w:tabs>
        <w:jc w:val="both"/>
        <w:rPr>
          <w:rFonts w:ascii="Arial" w:hAnsi="Arial" w:cs="Arial"/>
          <w:sz w:val="16"/>
          <w:szCs w:val="14"/>
        </w:rPr>
      </w:pPr>
    </w:p>
    <w:p w:rsidR="00DF3AA7" w:rsidRPr="00AC6BE0" w:rsidRDefault="00DF3AA7" w:rsidP="00DF3AA7">
      <w:pPr>
        <w:tabs>
          <w:tab w:val="left" w:pos="360"/>
        </w:tabs>
        <w:jc w:val="both"/>
        <w:rPr>
          <w:rFonts w:ascii="Arial" w:hAnsi="Arial" w:cs="Arial"/>
          <w:sz w:val="22"/>
          <w:szCs w:val="22"/>
          <w:lang w:val="es-CO"/>
        </w:rPr>
      </w:pPr>
      <w:r w:rsidRPr="00AC6BE0">
        <w:rPr>
          <w:rFonts w:ascii="Arial" w:hAnsi="Arial" w:cs="Arial"/>
          <w:sz w:val="22"/>
          <w:szCs w:val="22"/>
          <w:lang w:val="es-CO"/>
        </w:rPr>
        <w:t xml:space="preserve">Los proveedores  </w:t>
      </w:r>
      <w:r w:rsidR="00AC6BE0" w:rsidRPr="00AC6BE0">
        <w:rPr>
          <w:rFonts w:ascii="Arial" w:hAnsi="Arial" w:cs="Arial"/>
          <w:sz w:val="22"/>
          <w:szCs w:val="22"/>
          <w:lang w:val="es-CO"/>
        </w:rPr>
        <w:t>críticos</w:t>
      </w:r>
      <w:r w:rsidRPr="00AC6BE0">
        <w:rPr>
          <w:rFonts w:ascii="Arial" w:hAnsi="Arial" w:cs="Arial"/>
          <w:sz w:val="22"/>
          <w:szCs w:val="22"/>
          <w:lang w:val="es-CO"/>
        </w:rPr>
        <w:t xml:space="preserve">  financieros y de insumos  se evalua</w:t>
      </w:r>
      <w:r w:rsidR="00825CAC" w:rsidRPr="00AC6BE0">
        <w:rPr>
          <w:rFonts w:ascii="Arial" w:hAnsi="Arial" w:cs="Arial"/>
          <w:sz w:val="22"/>
          <w:szCs w:val="22"/>
          <w:lang w:val="es-CO"/>
        </w:rPr>
        <w:t>ron en el mes de Octubre de 2014</w:t>
      </w:r>
      <w:r w:rsidRPr="00AC6BE0">
        <w:rPr>
          <w:rFonts w:ascii="Arial" w:hAnsi="Arial" w:cs="Arial"/>
          <w:sz w:val="22"/>
          <w:szCs w:val="22"/>
          <w:lang w:val="es-CO"/>
        </w:rPr>
        <w:t xml:space="preserve"> arrojando el siguiente resultado:</w:t>
      </w:r>
    </w:p>
    <w:p w:rsidR="00DF3AA7" w:rsidRPr="00AC6BE0" w:rsidRDefault="00DF3AA7" w:rsidP="00DF3AA7">
      <w:pPr>
        <w:tabs>
          <w:tab w:val="left" w:pos="360"/>
        </w:tabs>
        <w:jc w:val="both"/>
        <w:rPr>
          <w:rFonts w:ascii="Arial" w:hAnsi="Arial" w:cs="Arial"/>
          <w:sz w:val="22"/>
          <w:szCs w:val="22"/>
          <w:lang w:val="es-CO"/>
        </w:rPr>
      </w:pPr>
      <w:r w:rsidRPr="00AC6BE0">
        <w:rPr>
          <w:rFonts w:ascii="Arial" w:hAnsi="Arial" w:cs="Arial"/>
          <w:sz w:val="22"/>
          <w:szCs w:val="22"/>
          <w:lang w:val="es-CO"/>
        </w:rPr>
        <w:t>Proveedores Financieros  83.08%</w:t>
      </w:r>
    </w:p>
    <w:p w:rsidR="00DF3AA7" w:rsidRDefault="00DF3AA7" w:rsidP="00DF3AA7">
      <w:pPr>
        <w:tabs>
          <w:tab w:val="left" w:pos="360"/>
        </w:tabs>
        <w:jc w:val="both"/>
        <w:rPr>
          <w:rFonts w:ascii="Arial" w:hAnsi="Arial" w:cs="Arial"/>
          <w:sz w:val="22"/>
          <w:szCs w:val="22"/>
          <w:lang w:val="es-CO"/>
        </w:rPr>
      </w:pPr>
      <w:r w:rsidRPr="00AC6BE0">
        <w:rPr>
          <w:rFonts w:ascii="Arial" w:hAnsi="Arial" w:cs="Arial"/>
          <w:sz w:val="22"/>
          <w:szCs w:val="22"/>
          <w:lang w:val="es-CO"/>
        </w:rPr>
        <w:t>Proveedores de insumos  88.00%</w:t>
      </w:r>
    </w:p>
    <w:p w:rsidR="00AC6BE0" w:rsidRPr="00AC6BE0" w:rsidRDefault="00AC6BE0" w:rsidP="00DF3AA7">
      <w:pPr>
        <w:tabs>
          <w:tab w:val="left" w:pos="360"/>
        </w:tabs>
        <w:jc w:val="both"/>
        <w:rPr>
          <w:rFonts w:ascii="Arial" w:hAnsi="Arial" w:cs="Arial"/>
          <w:sz w:val="22"/>
          <w:szCs w:val="22"/>
          <w:lang w:val="es-CO"/>
        </w:rPr>
      </w:pPr>
    </w:p>
    <w:p w:rsidR="00DF3AA7" w:rsidRPr="00AC6BE0" w:rsidRDefault="00DF3AA7" w:rsidP="00DF3AA7">
      <w:pPr>
        <w:tabs>
          <w:tab w:val="left" w:pos="360"/>
        </w:tabs>
        <w:jc w:val="both"/>
        <w:rPr>
          <w:rFonts w:ascii="Arial" w:hAnsi="Arial" w:cs="Arial"/>
          <w:sz w:val="22"/>
          <w:szCs w:val="22"/>
          <w:lang w:val="es-CO"/>
        </w:rPr>
      </w:pPr>
      <w:r w:rsidRPr="00AC6BE0">
        <w:rPr>
          <w:rFonts w:ascii="Arial" w:hAnsi="Arial" w:cs="Arial"/>
          <w:sz w:val="22"/>
          <w:szCs w:val="22"/>
          <w:lang w:val="es-CO"/>
        </w:rPr>
        <w:t>Se establece com</w:t>
      </w:r>
      <w:r w:rsidR="00825CAC" w:rsidRPr="00AC6BE0">
        <w:rPr>
          <w:rFonts w:ascii="Arial" w:hAnsi="Arial" w:cs="Arial"/>
          <w:sz w:val="22"/>
          <w:szCs w:val="22"/>
          <w:lang w:val="es-CO"/>
        </w:rPr>
        <w:t>o promedio en la calificacion 88</w:t>
      </w:r>
      <w:r w:rsidRPr="00AC6BE0">
        <w:rPr>
          <w:rFonts w:ascii="Arial" w:hAnsi="Arial" w:cs="Arial"/>
          <w:sz w:val="22"/>
          <w:szCs w:val="22"/>
          <w:lang w:val="es-CO"/>
        </w:rPr>
        <w:t>.54 lo que indica que nuestros proveedores son confiables.</w:t>
      </w:r>
      <w:r w:rsidRPr="00AC6BE0">
        <w:rPr>
          <w:rFonts w:ascii="Arial" w:hAnsi="Arial" w:cs="Arial"/>
          <w:b/>
          <w:bCs/>
          <w:sz w:val="22"/>
          <w:szCs w:val="22"/>
          <w:lang w:val="es-CO"/>
        </w:rPr>
        <w:t xml:space="preserve"> </w:t>
      </w:r>
    </w:p>
    <w:p w:rsidR="00DF3AA7" w:rsidRPr="00AC6BE0" w:rsidRDefault="00DF3AA7" w:rsidP="00DF3AA7">
      <w:pPr>
        <w:tabs>
          <w:tab w:val="left" w:pos="360"/>
        </w:tabs>
        <w:jc w:val="both"/>
        <w:rPr>
          <w:rFonts w:ascii="Arial" w:hAnsi="Arial" w:cs="Arial"/>
          <w:sz w:val="22"/>
          <w:szCs w:val="22"/>
          <w:lang w:val="es-CO"/>
        </w:rPr>
      </w:pPr>
    </w:p>
    <w:p w:rsidR="00DF3AA7" w:rsidRPr="00AC6BE0" w:rsidRDefault="00DF3AA7" w:rsidP="00DF3AA7">
      <w:pPr>
        <w:tabs>
          <w:tab w:val="left" w:pos="360"/>
        </w:tabs>
        <w:jc w:val="both"/>
        <w:rPr>
          <w:rFonts w:ascii="Arial" w:hAnsi="Arial" w:cs="Arial"/>
          <w:sz w:val="22"/>
          <w:szCs w:val="22"/>
        </w:rPr>
      </w:pPr>
    </w:p>
    <w:p w:rsidR="00DF3AA7" w:rsidRPr="00AC6BE0" w:rsidRDefault="00DF3AA7" w:rsidP="00DF3AA7">
      <w:pPr>
        <w:pStyle w:val="Ttulo5"/>
        <w:rPr>
          <w:rFonts w:ascii="Arial" w:hAnsi="Arial" w:cs="Arial"/>
          <w:sz w:val="22"/>
          <w:szCs w:val="22"/>
        </w:rPr>
      </w:pPr>
      <w:r w:rsidRPr="00AC6BE0">
        <w:rPr>
          <w:rFonts w:ascii="Arial" w:hAnsi="Arial" w:cs="Arial"/>
          <w:sz w:val="22"/>
          <w:szCs w:val="22"/>
        </w:rPr>
        <w:lastRenderedPageBreak/>
        <w:t>Devolución a Proveedores</w:t>
      </w:r>
    </w:p>
    <w:p w:rsidR="00DF3AA7" w:rsidRPr="00AC6BE0" w:rsidRDefault="00DF3AA7" w:rsidP="00DF3AA7">
      <w:pPr>
        <w:rPr>
          <w:rFonts w:ascii="Arial" w:hAnsi="Arial" w:cs="Arial"/>
          <w:sz w:val="22"/>
          <w:szCs w:val="22"/>
        </w:rPr>
      </w:pPr>
    </w:p>
    <w:p w:rsidR="00825CAC" w:rsidRDefault="00825CAC" w:rsidP="00DF3AA7">
      <w:r>
        <w:rPr>
          <w:noProof/>
        </w:rPr>
        <w:drawing>
          <wp:inline distT="0" distB="0" distL="0" distR="0">
            <wp:extent cx="4605866" cy="2755900"/>
            <wp:effectExtent l="19050" t="0" r="23284" b="2540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25CAC" w:rsidRDefault="00825CAC" w:rsidP="00DF3AA7"/>
    <w:p w:rsidR="00DF3AA7" w:rsidRPr="00AC6BE0" w:rsidRDefault="00DF3AA7" w:rsidP="00DF3AA7">
      <w:pPr>
        <w:tabs>
          <w:tab w:val="left" w:pos="360"/>
        </w:tabs>
        <w:jc w:val="both"/>
        <w:rPr>
          <w:rFonts w:ascii="Arial" w:hAnsi="Arial" w:cs="Arial"/>
          <w:sz w:val="22"/>
          <w:szCs w:val="22"/>
        </w:rPr>
      </w:pPr>
      <w:r w:rsidRPr="00AC6BE0">
        <w:rPr>
          <w:rFonts w:ascii="Arial" w:hAnsi="Arial" w:cs="Arial"/>
          <w:sz w:val="22"/>
          <w:szCs w:val="22"/>
        </w:rPr>
        <w:t>No existieron devoluciones, quejas o reclamos de los bienes o servicios adquiridos por el Instituto.</w:t>
      </w:r>
    </w:p>
    <w:p w:rsidR="00DF3AA7" w:rsidRPr="00AC6BE0" w:rsidRDefault="00DF3AA7" w:rsidP="00DF3AA7">
      <w:pPr>
        <w:tabs>
          <w:tab w:val="left" w:pos="360"/>
        </w:tabs>
        <w:jc w:val="both"/>
        <w:rPr>
          <w:rFonts w:ascii="Arial" w:hAnsi="Arial" w:cs="Arial"/>
          <w:sz w:val="22"/>
          <w:szCs w:val="22"/>
        </w:rPr>
      </w:pPr>
    </w:p>
    <w:p w:rsidR="00DF3AA7" w:rsidRPr="00AC6BE0" w:rsidRDefault="00DF3AA7" w:rsidP="00DF3AA7">
      <w:pPr>
        <w:tabs>
          <w:tab w:val="left" w:pos="360"/>
        </w:tabs>
        <w:jc w:val="both"/>
        <w:rPr>
          <w:rFonts w:ascii="Arial" w:hAnsi="Arial" w:cs="Arial"/>
          <w:b/>
          <w:bCs/>
          <w:sz w:val="22"/>
          <w:szCs w:val="22"/>
        </w:rPr>
      </w:pPr>
    </w:p>
    <w:p w:rsidR="00DF3AA7" w:rsidRDefault="00DF3AA7" w:rsidP="00DF3AA7">
      <w:pPr>
        <w:tabs>
          <w:tab w:val="left" w:pos="360"/>
        </w:tabs>
        <w:jc w:val="both"/>
        <w:rPr>
          <w:rFonts w:ascii="Arial" w:hAnsi="Arial" w:cs="Arial"/>
          <w:b/>
          <w:bCs/>
          <w:sz w:val="22"/>
          <w:szCs w:val="22"/>
        </w:rPr>
      </w:pPr>
      <w:r w:rsidRPr="00AC6BE0">
        <w:rPr>
          <w:rFonts w:ascii="Arial" w:hAnsi="Arial" w:cs="Arial"/>
          <w:b/>
          <w:bCs/>
          <w:sz w:val="22"/>
          <w:szCs w:val="22"/>
        </w:rPr>
        <w:t>% CUMPLIMIENTO DEL PLAN DE COMPRAS</w:t>
      </w:r>
    </w:p>
    <w:p w:rsidR="00AC6BE0" w:rsidRDefault="00AC6BE0" w:rsidP="00DF3AA7">
      <w:pPr>
        <w:tabs>
          <w:tab w:val="left" w:pos="360"/>
        </w:tabs>
        <w:jc w:val="both"/>
        <w:rPr>
          <w:rFonts w:ascii="Arial" w:hAnsi="Arial" w:cs="Arial"/>
          <w:b/>
          <w:bCs/>
          <w:sz w:val="22"/>
          <w:szCs w:val="22"/>
        </w:rPr>
      </w:pPr>
    </w:p>
    <w:p w:rsidR="00AC6BE0" w:rsidRPr="00AC6BE0" w:rsidRDefault="00AC6BE0" w:rsidP="00DF3AA7">
      <w:pPr>
        <w:tabs>
          <w:tab w:val="left" w:pos="360"/>
        </w:tabs>
        <w:jc w:val="both"/>
        <w:rPr>
          <w:rFonts w:ascii="Arial" w:hAnsi="Arial" w:cs="Arial"/>
          <w:b/>
          <w:bCs/>
          <w:sz w:val="22"/>
          <w:szCs w:val="22"/>
        </w:rPr>
      </w:pPr>
      <w:r w:rsidRPr="00AC6BE0">
        <w:rPr>
          <w:rFonts w:ascii="Arial" w:hAnsi="Arial" w:cs="Arial"/>
          <w:b/>
          <w:bCs/>
          <w:noProof/>
          <w:sz w:val="22"/>
          <w:szCs w:val="22"/>
        </w:rPr>
        <w:drawing>
          <wp:inline distT="0" distB="0" distL="0" distR="0">
            <wp:extent cx="5400040" cy="2027917"/>
            <wp:effectExtent l="19050" t="0" r="10160" b="10433"/>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F3AA7" w:rsidRPr="00AC6BE0" w:rsidRDefault="00DF3AA7" w:rsidP="00DF3AA7">
      <w:pPr>
        <w:tabs>
          <w:tab w:val="left" w:pos="360"/>
        </w:tabs>
        <w:jc w:val="both"/>
        <w:rPr>
          <w:rStyle w:val="nfasis"/>
          <w:rFonts w:ascii="Arial" w:hAnsi="Arial" w:cs="Arial"/>
          <w:i w:val="0"/>
          <w:sz w:val="22"/>
          <w:szCs w:val="22"/>
        </w:rPr>
      </w:pPr>
    </w:p>
    <w:p w:rsidR="00B76A44" w:rsidRPr="00AC6BE0" w:rsidRDefault="00B76A44" w:rsidP="00B76A44">
      <w:pPr>
        <w:tabs>
          <w:tab w:val="left" w:pos="360"/>
        </w:tabs>
        <w:jc w:val="both"/>
        <w:rPr>
          <w:rFonts w:ascii="Arial" w:eastAsia="+mn-ea" w:hAnsi="Arial" w:cs="Arial"/>
          <w:iCs/>
          <w:sz w:val="22"/>
          <w:szCs w:val="22"/>
          <w:lang w:val="es-ES_tradnl"/>
        </w:rPr>
      </w:pPr>
      <w:r w:rsidRPr="00AC6BE0">
        <w:rPr>
          <w:rFonts w:ascii="Arial" w:eastAsia="+mn-ea" w:hAnsi="Arial" w:cs="Arial"/>
          <w:iCs/>
          <w:sz w:val="22"/>
          <w:szCs w:val="22"/>
        </w:rPr>
        <w:t>LA ELABORACION DEL PLAN ANUAL DE ADQUISICIONES PARA LA VIGENCIAS 2014: Se llevo a cabo de conformidad con los lineamientos establecidos por la Agencia Nacional de Contratación Pública –Colombia Compra Eficiente, quien definió los lineamientos técnicos, conceptuales y metodológicos para la consolidación de un sistema de compras. Fue publicado en el SECOP el dia 30 de Enero de 2014 y socializado a todos los funcionarios del Instituto  el dia 13 de febrero de 2014.</w:t>
      </w:r>
    </w:p>
    <w:p w:rsidR="00B76A44" w:rsidRDefault="00B76A44" w:rsidP="00B76A44">
      <w:pPr>
        <w:tabs>
          <w:tab w:val="left" w:pos="360"/>
        </w:tabs>
        <w:jc w:val="both"/>
        <w:rPr>
          <w:rFonts w:ascii="Arial" w:eastAsia="+mn-ea" w:hAnsi="Arial" w:cs="Arial"/>
          <w:iCs/>
          <w:sz w:val="22"/>
          <w:szCs w:val="22"/>
        </w:rPr>
      </w:pPr>
      <w:r w:rsidRPr="00AC6BE0">
        <w:rPr>
          <w:rFonts w:ascii="Arial" w:eastAsia="+mn-ea" w:hAnsi="Arial" w:cs="Arial"/>
          <w:iCs/>
          <w:sz w:val="22"/>
          <w:szCs w:val="22"/>
        </w:rPr>
        <w:t xml:space="preserve">El comportamiento del plan de compras fue el siguiente: </w:t>
      </w:r>
    </w:p>
    <w:p w:rsidR="00AC6BE0" w:rsidRPr="00AC6BE0" w:rsidRDefault="00AC6BE0" w:rsidP="00B76A44">
      <w:pPr>
        <w:tabs>
          <w:tab w:val="left" w:pos="360"/>
        </w:tabs>
        <w:jc w:val="both"/>
        <w:rPr>
          <w:rFonts w:ascii="Arial" w:eastAsia="+mn-ea" w:hAnsi="Arial" w:cs="Arial"/>
          <w:iCs/>
          <w:sz w:val="22"/>
          <w:szCs w:val="22"/>
          <w:lang w:val="es-ES_tradnl"/>
        </w:rPr>
      </w:pPr>
    </w:p>
    <w:p w:rsidR="00B76A44" w:rsidRPr="00AC6BE0" w:rsidRDefault="00B76A44" w:rsidP="00B76A44">
      <w:pPr>
        <w:tabs>
          <w:tab w:val="left" w:pos="360"/>
        </w:tabs>
        <w:jc w:val="both"/>
        <w:rPr>
          <w:rFonts w:ascii="Arial" w:eastAsia="+mn-ea" w:hAnsi="Arial" w:cs="Arial"/>
          <w:iCs/>
          <w:sz w:val="22"/>
          <w:szCs w:val="22"/>
          <w:lang w:val="es-ES_tradnl"/>
        </w:rPr>
      </w:pPr>
      <w:r w:rsidRPr="00AC6BE0">
        <w:rPr>
          <w:rFonts w:ascii="Arial" w:eastAsia="+mn-ea" w:hAnsi="Arial" w:cs="Arial"/>
          <w:iCs/>
          <w:sz w:val="22"/>
          <w:szCs w:val="22"/>
        </w:rPr>
        <w:t>VALOR INICIAL DEL IV PERIODO DEL PLAN ANUAL DE ADQUISICIONES</w:t>
      </w:r>
    </w:p>
    <w:p w:rsidR="00B76A44" w:rsidRDefault="00B76A44" w:rsidP="00B76A44">
      <w:pPr>
        <w:tabs>
          <w:tab w:val="left" w:pos="360"/>
        </w:tabs>
        <w:jc w:val="both"/>
        <w:rPr>
          <w:rFonts w:ascii="Arial" w:eastAsia="+mn-ea" w:hAnsi="Arial" w:cs="Arial"/>
          <w:iCs/>
          <w:sz w:val="22"/>
          <w:szCs w:val="22"/>
        </w:rPr>
      </w:pPr>
      <w:r w:rsidRPr="00AC6BE0">
        <w:rPr>
          <w:rFonts w:ascii="Arial" w:eastAsia="+mn-ea" w:hAnsi="Arial" w:cs="Arial"/>
          <w:iCs/>
          <w:sz w:val="22"/>
          <w:szCs w:val="22"/>
        </w:rPr>
        <w:t>1.653.676.552.50</w:t>
      </w:r>
    </w:p>
    <w:p w:rsidR="00AC6BE0" w:rsidRPr="00AC6BE0" w:rsidRDefault="00AC6BE0" w:rsidP="00B76A44">
      <w:pPr>
        <w:tabs>
          <w:tab w:val="left" w:pos="360"/>
        </w:tabs>
        <w:jc w:val="both"/>
        <w:rPr>
          <w:rFonts w:ascii="Arial" w:eastAsia="+mn-ea" w:hAnsi="Arial" w:cs="Arial"/>
          <w:iCs/>
          <w:sz w:val="22"/>
          <w:szCs w:val="22"/>
          <w:lang w:val="es-ES_tradnl"/>
        </w:rPr>
      </w:pPr>
    </w:p>
    <w:p w:rsidR="00B76A44" w:rsidRPr="00AC6BE0" w:rsidRDefault="00B76A44" w:rsidP="00B76A44">
      <w:pPr>
        <w:tabs>
          <w:tab w:val="left" w:pos="360"/>
        </w:tabs>
        <w:jc w:val="both"/>
        <w:rPr>
          <w:rFonts w:ascii="Arial" w:eastAsia="+mn-ea" w:hAnsi="Arial" w:cs="Arial"/>
          <w:iCs/>
          <w:sz w:val="22"/>
          <w:szCs w:val="22"/>
          <w:lang w:val="es-ES_tradnl"/>
        </w:rPr>
      </w:pPr>
      <w:r w:rsidRPr="00AC6BE0">
        <w:rPr>
          <w:rFonts w:ascii="Arial" w:eastAsia="+mn-ea" w:hAnsi="Arial" w:cs="Arial"/>
          <w:iCs/>
          <w:sz w:val="22"/>
          <w:szCs w:val="22"/>
        </w:rPr>
        <w:t>VALOR PROGRAMADO POR EJECUTAR SEGUNDO  TRIMESTRE</w:t>
      </w:r>
    </w:p>
    <w:p w:rsidR="00B76A44" w:rsidRDefault="00B76A44" w:rsidP="00B76A44">
      <w:pPr>
        <w:tabs>
          <w:tab w:val="left" w:pos="360"/>
        </w:tabs>
        <w:jc w:val="both"/>
        <w:rPr>
          <w:rFonts w:ascii="Arial" w:eastAsia="+mn-ea" w:hAnsi="Arial" w:cs="Arial"/>
          <w:iCs/>
          <w:sz w:val="22"/>
          <w:szCs w:val="22"/>
        </w:rPr>
      </w:pPr>
      <w:r w:rsidRPr="00AC6BE0">
        <w:rPr>
          <w:rFonts w:ascii="Arial" w:eastAsia="+mn-ea" w:hAnsi="Arial" w:cs="Arial"/>
          <w:iCs/>
          <w:sz w:val="22"/>
          <w:szCs w:val="22"/>
        </w:rPr>
        <w:t>135.287.298.00</w:t>
      </w:r>
    </w:p>
    <w:p w:rsidR="00AC6BE0" w:rsidRPr="00AC6BE0" w:rsidRDefault="00AC6BE0" w:rsidP="00B76A44">
      <w:pPr>
        <w:tabs>
          <w:tab w:val="left" w:pos="360"/>
        </w:tabs>
        <w:jc w:val="both"/>
        <w:rPr>
          <w:rFonts w:ascii="Arial" w:eastAsia="+mn-ea" w:hAnsi="Arial" w:cs="Arial"/>
          <w:iCs/>
          <w:sz w:val="22"/>
          <w:szCs w:val="22"/>
          <w:lang w:val="es-ES_tradnl"/>
        </w:rPr>
      </w:pPr>
    </w:p>
    <w:p w:rsidR="00B76A44" w:rsidRPr="00AC6BE0" w:rsidRDefault="00B76A44" w:rsidP="00B76A44">
      <w:pPr>
        <w:tabs>
          <w:tab w:val="left" w:pos="360"/>
        </w:tabs>
        <w:jc w:val="both"/>
        <w:rPr>
          <w:rFonts w:ascii="Arial" w:eastAsia="+mn-ea" w:hAnsi="Arial" w:cs="Arial"/>
          <w:iCs/>
          <w:sz w:val="22"/>
          <w:szCs w:val="22"/>
          <w:lang w:val="es-ES_tradnl"/>
        </w:rPr>
      </w:pPr>
      <w:r w:rsidRPr="00AC6BE0">
        <w:rPr>
          <w:rFonts w:ascii="Arial" w:eastAsia="+mn-ea" w:hAnsi="Arial" w:cs="Arial"/>
          <w:iCs/>
          <w:sz w:val="22"/>
          <w:szCs w:val="22"/>
        </w:rPr>
        <w:t>VALOR TOTAL EJECUTADO  (100%)</w:t>
      </w:r>
    </w:p>
    <w:p w:rsidR="00B76A44" w:rsidRDefault="00B76A44" w:rsidP="00B76A44">
      <w:pPr>
        <w:tabs>
          <w:tab w:val="left" w:pos="360"/>
        </w:tabs>
        <w:jc w:val="both"/>
        <w:rPr>
          <w:rFonts w:ascii="Arial" w:eastAsia="+mn-ea" w:hAnsi="Arial" w:cs="Arial"/>
          <w:iCs/>
          <w:sz w:val="22"/>
          <w:szCs w:val="22"/>
        </w:rPr>
      </w:pPr>
      <w:r w:rsidRPr="00AC6BE0">
        <w:rPr>
          <w:rFonts w:ascii="Arial" w:eastAsia="+mn-ea" w:hAnsi="Arial" w:cs="Arial"/>
          <w:iCs/>
          <w:sz w:val="22"/>
          <w:szCs w:val="22"/>
        </w:rPr>
        <w:lastRenderedPageBreak/>
        <w:t>135.287.298.00</w:t>
      </w:r>
    </w:p>
    <w:p w:rsidR="00AC6BE0" w:rsidRPr="00AC6BE0" w:rsidRDefault="00AC6BE0" w:rsidP="00B76A44">
      <w:pPr>
        <w:tabs>
          <w:tab w:val="left" w:pos="360"/>
        </w:tabs>
        <w:jc w:val="both"/>
        <w:rPr>
          <w:rFonts w:ascii="Arial" w:eastAsia="+mn-ea" w:hAnsi="Arial" w:cs="Arial"/>
          <w:iCs/>
          <w:sz w:val="22"/>
          <w:szCs w:val="22"/>
          <w:lang w:val="es-ES_tradnl"/>
        </w:rPr>
      </w:pPr>
    </w:p>
    <w:p w:rsidR="00B76A44" w:rsidRPr="00AC6BE0" w:rsidRDefault="00B76A44" w:rsidP="00B76A44">
      <w:pPr>
        <w:tabs>
          <w:tab w:val="left" w:pos="360"/>
        </w:tabs>
        <w:jc w:val="both"/>
        <w:rPr>
          <w:rFonts w:ascii="Arial" w:eastAsia="+mn-ea" w:hAnsi="Arial" w:cs="Arial"/>
          <w:iCs/>
          <w:sz w:val="22"/>
          <w:szCs w:val="22"/>
          <w:lang w:val="es-ES_tradnl"/>
        </w:rPr>
      </w:pPr>
      <w:r w:rsidRPr="00AC6BE0">
        <w:rPr>
          <w:rFonts w:ascii="Arial" w:eastAsia="+mn-ea" w:hAnsi="Arial" w:cs="Arial"/>
          <w:iCs/>
          <w:sz w:val="22"/>
          <w:szCs w:val="22"/>
        </w:rPr>
        <w:t>VALOR PROGRAMADO NO EJECUTADO</w:t>
      </w:r>
    </w:p>
    <w:p w:rsidR="00B76A44" w:rsidRPr="00AC6BE0" w:rsidRDefault="00B76A44" w:rsidP="00B76A44">
      <w:pPr>
        <w:tabs>
          <w:tab w:val="left" w:pos="360"/>
        </w:tabs>
        <w:jc w:val="both"/>
        <w:rPr>
          <w:rFonts w:ascii="Arial" w:eastAsia="+mn-ea" w:hAnsi="Arial" w:cs="Arial"/>
          <w:iCs/>
          <w:sz w:val="22"/>
          <w:szCs w:val="22"/>
          <w:lang w:val="es-ES_tradnl"/>
        </w:rPr>
      </w:pPr>
      <w:r w:rsidRPr="00AC6BE0">
        <w:rPr>
          <w:rFonts w:ascii="Arial" w:eastAsia="+mn-ea" w:hAnsi="Arial" w:cs="Arial"/>
          <w:iCs/>
          <w:sz w:val="22"/>
          <w:szCs w:val="22"/>
        </w:rPr>
        <w:t>VALOR FINAL PLAN</w:t>
      </w:r>
    </w:p>
    <w:p w:rsidR="00B76A44" w:rsidRDefault="00B76A44" w:rsidP="00B76A44">
      <w:pPr>
        <w:tabs>
          <w:tab w:val="left" w:pos="360"/>
        </w:tabs>
        <w:jc w:val="both"/>
        <w:rPr>
          <w:rFonts w:ascii="Arial" w:eastAsia="+mn-ea" w:hAnsi="Arial" w:cs="Arial"/>
          <w:iCs/>
          <w:sz w:val="22"/>
          <w:szCs w:val="22"/>
        </w:rPr>
      </w:pPr>
      <w:r w:rsidRPr="00AC6BE0">
        <w:rPr>
          <w:rFonts w:ascii="Arial" w:eastAsia="+mn-ea" w:hAnsi="Arial" w:cs="Arial"/>
          <w:iCs/>
          <w:sz w:val="22"/>
          <w:szCs w:val="22"/>
        </w:rPr>
        <w:t>1.668.676.552.50</w:t>
      </w:r>
    </w:p>
    <w:p w:rsidR="00AC6BE0" w:rsidRPr="00AC6BE0" w:rsidRDefault="00AC6BE0" w:rsidP="00B76A44">
      <w:pPr>
        <w:tabs>
          <w:tab w:val="left" w:pos="360"/>
        </w:tabs>
        <w:jc w:val="both"/>
        <w:rPr>
          <w:rFonts w:ascii="Arial" w:eastAsia="+mn-ea" w:hAnsi="Arial" w:cs="Arial"/>
          <w:iCs/>
          <w:sz w:val="22"/>
          <w:szCs w:val="22"/>
          <w:lang w:val="es-ES_tradnl"/>
        </w:rPr>
      </w:pPr>
    </w:p>
    <w:p w:rsidR="00B76A44" w:rsidRDefault="00B76A44" w:rsidP="00B76A44">
      <w:pPr>
        <w:tabs>
          <w:tab w:val="left" w:pos="360"/>
        </w:tabs>
        <w:jc w:val="both"/>
        <w:rPr>
          <w:rFonts w:ascii="Arial" w:eastAsia="+mn-ea" w:hAnsi="Arial" w:cs="Arial"/>
          <w:b/>
          <w:bCs/>
          <w:iCs/>
          <w:sz w:val="22"/>
          <w:szCs w:val="22"/>
        </w:rPr>
      </w:pPr>
      <w:r w:rsidRPr="00AC6BE0">
        <w:rPr>
          <w:rFonts w:ascii="Arial" w:eastAsia="+mn-ea" w:hAnsi="Arial" w:cs="Arial"/>
          <w:b/>
          <w:bCs/>
          <w:iCs/>
          <w:sz w:val="22"/>
          <w:szCs w:val="22"/>
        </w:rPr>
        <w:t>INDICADOR DE EFICIENCIA:  100%</w:t>
      </w:r>
    </w:p>
    <w:p w:rsidR="00AC6BE0" w:rsidRPr="00AC6BE0" w:rsidRDefault="00AC6BE0" w:rsidP="00B76A44">
      <w:pPr>
        <w:tabs>
          <w:tab w:val="left" w:pos="360"/>
        </w:tabs>
        <w:jc w:val="both"/>
        <w:rPr>
          <w:rFonts w:ascii="Arial" w:eastAsia="+mn-ea" w:hAnsi="Arial" w:cs="Arial"/>
          <w:iCs/>
          <w:sz w:val="22"/>
          <w:szCs w:val="22"/>
          <w:lang w:val="es-ES_tradnl"/>
        </w:rPr>
      </w:pPr>
    </w:p>
    <w:p w:rsidR="00B76A44" w:rsidRPr="00AC6BE0" w:rsidRDefault="00B76A44" w:rsidP="00B76A44">
      <w:pPr>
        <w:tabs>
          <w:tab w:val="left" w:pos="360"/>
        </w:tabs>
        <w:jc w:val="both"/>
        <w:rPr>
          <w:rFonts w:ascii="Arial" w:eastAsia="+mn-ea" w:hAnsi="Arial" w:cs="Arial"/>
          <w:iCs/>
          <w:sz w:val="22"/>
          <w:szCs w:val="22"/>
          <w:lang w:val="es-ES_tradnl"/>
        </w:rPr>
      </w:pPr>
      <w:r w:rsidRPr="00AC6BE0">
        <w:rPr>
          <w:rFonts w:ascii="Arial" w:eastAsia="+mn-ea" w:hAnsi="Arial" w:cs="Arial"/>
          <w:iCs/>
          <w:sz w:val="22"/>
          <w:szCs w:val="22"/>
          <w:u w:val="single"/>
        </w:rPr>
        <w:t>Recursos ejecutados</w:t>
      </w:r>
    </w:p>
    <w:p w:rsidR="00B76A44" w:rsidRPr="00AC6BE0" w:rsidRDefault="00B76A44" w:rsidP="00B76A44">
      <w:pPr>
        <w:tabs>
          <w:tab w:val="left" w:pos="360"/>
        </w:tabs>
        <w:jc w:val="both"/>
        <w:rPr>
          <w:rFonts w:ascii="Arial" w:eastAsia="+mn-ea" w:hAnsi="Arial" w:cs="Arial"/>
          <w:iCs/>
          <w:sz w:val="22"/>
          <w:szCs w:val="22"/>
          <w:lang w:val="es-ES_tradnl"/>
        </w:rPr>
      </w:pPr>
      <w:r w:rsidRPr="00AC6BE0">
        <w:rPr>
          <w:rFonts w:ascii="Arial" w:eastAsia="+mn-ea" w:hAnsi="Arial" w:cs="Arial"/>
          <w:iCs/>
          <w:sz w:val="22"/>
          <w:szCs w:val="22"/>
        </w:rPr>
        <w:t>Recursos proyectados</w:t>
      </w:r>
    </w:p>
    <w:p w:rsidR="00DF3AA7" w:rsidRPr="00AC6BE0" w:rsidRDefault="00DF3AA7" w:rsidP="00DF3AA7">
      <w:pPr>
        <w:tabs>
          <w:tab w:val="left" w:pos="360"/>
        </w:tabs>
        <w:jc w:val="both"/>
        <w:rPr>
          <w:rFonts w:ascii="Arial" w:hAnsi="Arial" w:cs="Arial"/>
          <w:b/>
          <w:bCs/>
          <w:color w:val="008000"/>
          <w:sz w:val="22"/>
          <w:szCs w:val="22"/>
          <w:lang w:val="es-CO"/>
        </w:rPr>
      </w:pPr>
    </w:p>
    <w:p w:rsidR="00DF3AA7" w:rsidRPr="00923158" w:rsidRDefault="00DF3AA7" w:rsidP="00DF3AA7">
      <w:pPr>
        <w:tabs>
          <w:tab w:val="left" w:pos="360"/>
        </w:tabs>
        <w:jc w:val="both"/>
        <w:rPr>
          <w:rFonts w:ascii="Arial" w:hAnsi="Arial" w:cs="Arial"/>
          <w:b/>
          <w:bCs/>
          <w:color w:val="008000"/>
          <w:sz w:val="22"/>
          <w:szCs w:val="22"/>
        </w:rPr>
      </w:pPr>
    </w:p>
    <w:p w:rsidR="00DF3AA7" w:rsidRPr="00923158" w:rsidRDefault="00DF3AA7" w:rsidP="00DF3AA7">
      <w:pPr>
        <w:tabs>
          <w:tab w:val="left" w:pos="360"/>
        </w:tabs>
        <w:jc w:val="both"/>
        <w:rPr>
          <w:rFonts w:ascii="Arial" w:hAnsi="Arial" w:cs="Arial"/>
          <w:b/>
          <w:bCs/>
          <w:color w:val="008000"/>
          <w:sz w:val="22"/>
          <w:szCs w:val="22"/>
        </w:rPr>
      </w:pPr>
      <w:r w:rsidRPr="00923158">
        <w:rPr>
          <w:rFonts w:ascii="Arial" w:hAnsi="Arial" w:cs="Arial"/>
          <w:b/>
          <w:bCs/>
          <w:color w:val="008000"/>
          <w:sz w:val="22"/>
          <w:szCs w:val="22"/>
        </w:rPr>
        <w:t>4.8 PROCESO ADMINISTRACION Y FORMACIÓN DEL RECURSO HUMANO.</w:t>
      </w:r>
    </w:p>
    <w:p w:rsidR="00DF3AA7" w:rsidRPr="00923158" w:rsidRDefault="00DF3AA7" w:rsidP="00DF3AA7">
      <w:pPr>
        <w:tabs>
          <w:tab w:val="left" w:pos="360"/>
        </w:tabs>
        <w:jc w:val="both"/>
        <w:rPr>
          <w:rFonts w:ascii="Arial" w:hAnsi="Arial" w:cs="Arial"/>
          <w:b/>
          <w:bCs/>
          <w:sz w:val="22"/>
          <w:szCs w:val="22"/>
        </w:rPr>
      </w:pPr>
    </w:p>
    <w:p w:rsidR="00DF3AA7" w:rsidRPr="00923158" w:rsidRDefault="00DF3AA7" w:rsidP="00DF3AA7">
      <w:pPr>
        <w:tabs>
          <w:tab w:val="left" w:pos="360"/>
        </w:tabs>
        <w:jc w:val="both"/>
        <w:rPr>
          <w:rFonts w:ascii="Arial" w:hAnsi="Arial" w:cs="Arial"/>
          <w:b/>
          <w:bCs/>
          <w:sz w:val="22"/>
          <w:szCs w:val="22"/>
        </w:rPr>
      </w:pPr>
      <w:r w:rsidRPr="00923158">
        <w:rPr>
          <w:rFonts w:ascii="Arial" w:hAnsi="Arial" w:cs="Arial"/>
          <w:sz w:val="22"/>
          <w:szCs w:val="22"/>
        </w:rPr>
        <w:t>El Doctor Andres Solano Aguilar, hizo la presentación de los indicadores de Gestión de su proceso así:</w:t>
      </w:r>
    </w:p>
    <w:p w:rsidR="00DF3AA7" w:rsidRPr="00923158" w:rsidRDefault="00DF3AA7" w:rsidP="00DF3AA7">
      <w:pPr>
        <w:tabs>
          <w:tab w:val="left" w:pos="360"/>
        </w:tabs>
        <w:jc w:val="both"/>
        <w:rPr>
          <w:rFonts w:ascii="Arial" w:hAnsi="Arial" w:cs="Arial"/>
          <w:b/>
          <w:bCs/>
          <w:sz w:val="22"/>
          <w:szCs w:val="22"/>
        </w:rPr>
      </w:pPr>
    </w:p>
    <w:p w:rsidR="00DF3AA7" w:rsidRPr="00923158" w:rsidRDefault="00DF3AA7" w:rsidP="00DF3AA7">
      <w:pPr>
        <w:tabs>
          <w:tab w:val="left" w:pos="360"/>
        </w:tabs>
        <w:jc w:val="both"/>
        <w:rPr>
          <w:rFonts w:ascii="Arial" w:hAnsi="Arial" w:cs="Arial"/>
          <w:b/>
          <w:bCs/>
          <w:sz w:val="22"/>
          <w:szCs w:val="22"/>
        </w:rPr>
      </w:pPr>
      <w:r w:rsidRPr="00923158">
        <w:rPr>
          <w:rFonts w:ascii="Arial" w:hAnsi="Arial" w:cs="Arial"/>
          <w:b/>
          <w:bCs/>
          <w:sz w:val="22"/>
          <w:szCs w:val="22"/>
        </w:rPr>
        <w:t>CAPACITACIÓN DE FUNCIONARIOS</w:t>
      </w:r>
    </w:p>
    <w:p w:rsidR="00DF3AA7" w:rsidRPr="00923158" w:rsidRDefault="00DF3AA7" w:rsidP="00DF3AA7">
      <w:pPr>
        <w:tabs>
          <w:tab w:val="left" w:pos="360"/>
        </w:tabs>
        <w:jc w:val="both"/>
        <w:rPr>
          <w:rFonts w:ascii="Arial" w:hAnsi="Arial" w:cs="Arial"/>
          <w:b/>
          <w:bCs/>
          <w:sz w:val="22"/>
          <w:szCs w:val="22"/>
        </w:rPr>
      </w:pPr>
    </w:p>
    <w:p w:rsidR="00DF3AA7" w:rsidRDefault="00B76A44" w:rsidP="00DF3AA7">
      <w:pPr>
        <w:tabs>
          <w:tab w:val="left" w:pos="360"/>
        </w:tabs>
        <w:jc w:val="center"/>
        <w:rPr>
          <w:rFonts w:ascii="Arial" w:hAnsi="Arial" w:cs="Arial"/>
          <w:bCs/>
          <w:sz w:val="16"/>
          <w:szCs w:val="14"/>
        </w:rPr>
      </w:pPr>
      <w:r>
        <w:rPr>
          <w:noProof/>
        </w:rPr>
        <w:drawing>
          <wp:inline distT="0" distB="0" distL="0" distR="0">
            <wp:extent cx="4686300" cy="2847974"/>
            <wp:effectExtent l="19050" t="0" r="19050" b="9526"/>
            <wp:docPr id="4165344" name="Gráfico 4165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F3AA7" w:rsidRPr="00923158" w:rsidRDefault="00DF3AA7" w:rsidP="00DF3AA7">
      <w:pPr>
        <w:tabs>
          <w:tab w:val="left" w:pos="360"/>
        </w:tabs>
        <w:jc w:val="both"/>
        <w:rPr>
          <w:rFonts w:ascii="Arial" w:hAnsi="Arial" w:cs="Arial"/>
          <w:bCs/>
          <w:sz w:val="22"/>
          <w:szCs w:val="14"/>
        </w:rPr>
      </w:pPr>
    </w:p>
    <w:p w:rsidR="00DF3AA7" w:rsidRPr="00923158" w:rsidRDefault="00DF3AA7" w:rsidP="00DF3AA7">
      <w:pPr>
        <w:tabs>
          <w:tab w:val="left" w:pos="360"/>
        </w:tabs>
        <w:jc w:val="both"/>
        <w:rPr>
          <w:rFonts w:ascii="Arial" w:hAnsi="Arial" w:cs="Arial"/>
          <w:color w:val="FF0000"/>
          <w:sz w:val="22"/>
          <w:szCs w:val="14"/>
        </w:rPr>
      </w:pPr>
      <w:r w:rsidRPr="00923158">
        <w:rPr>
          <w:rFonts w:ascii="Arial" w:hAnsi="Arial" w:cs="Arial"/>
          <w:bCs/>
          <w:sz w:val="22"/>
          <w:szCs w:val="14"/>
        </w:rPr>
        <w:t>Durante el segundo semest</w:t>
      </w:r>
      <w:r w:rsidR="00B76A44" w:rsidRPr="00923158">
        <w:rPr>
          <w:rFonts w:ascii="Arial" w:hAnsi="Arial" w:cs="Arial"/>
          <w:bCs/>
          <w:sz w:val="22"/>
          <w:szCs w:val="14"/>
        </w:rPr>
        <w:t>re del 2014 se han capacitado 1</w:t>
      </w:r>
      <w:r w:rsidR="00923158" w:rsidRPr="00923158">
        <w:rPr>
          <w:rFonts w:ascii="Arial" w:hAnsi="Arial" w:cs="Arial"/>
          <w:bCs/>
          <w:sz w:val="22"/>
          <w:szCs w:val="14"/>
        </w:rPr>
        <w:t>1</w:t>
      </w:r>
      <w:r w:rsidRPr="00923158">
        <w:rPr>
          <w:rFonts w:ascii="Arial" w:hAnsi="Arial" w:cs="Arial"/>
          <w:bCs/>
          <w:sz w:val="22"/>
          <w:szCs w:val="14"/>
        </w:rPr>
        <w:t xml:space="preserve"> funcionarios</w:t>
      </w:r>
      <w:r w:rsidRPr="00923158">
        <w:rPr>
          <w:rFonts w:ascii="Arial" w:hAnsi="Arial" w:cs="Arial"/>
          <w:color w:val="FF0000"/>
          <w:sz w:val="22"/>
          <w:szCs w:val="14"/>
        </w:rPr>
        <w:t xml:space="preserve"> </w:t>
      </w:r>
    </w:p>
    <w:p w:rsidR="00DF3AA7" w:rsidRDefault="00DF3AA7" w:rsidP="00DF3AA7">
      <w:pPr>
        <w:tabs>
          <w:tab w:val="left" w:pos="360"/>
        </w:tabs>
        <w:jc w:val="both"/>
        <w:rPr>
          <w:rFonts w:ascii="Arial" w:hAnsi="Arial" w:cs="Arial"/>
          <w:color w:val="FF0000"/>
          <w:sz w:val="16"/>
          <w:szCs w:val="14"/>
        </w:rPr>
      </w:pPr>
    </w:p>
    <w:p w:rsidR="00DF3AA7" w:rsidRPr="00F933F6" w:rsidRDefault="00DF3AA7" w:rsidP="00DF3AA7">
      <w:pPr>
        <w:pStyle w:val="Ttulo5"/>
      </w:pPr>
      <w:r w:rsidRPr="00F933F6">
        <w:t>EVALUACIÓN DEL DESEMPEÑO</w:t>
      </w:r>
    </w:p>
    <w:p w:rsidR="00DF3AA7" w:rsidRDefault="00923158" w:rsidP="00DF3AA7">
      <w:pPr>
        <w:tabs>
          <w:tab w:val="left" w:pos="360"/>
        </w:tabs>
        <w:jc w:val="center"/>
        <w:rPr>
          <w:rFonts w:ascii="Arial" w:hAnsi="Arial" w:cs="Arial"/>
          <w:color w:val="FF0000"/>
          <w:sz w:val="16"/>
          <w:szCs w:val="14"/>
        </w:rPr>
      </w:pPr>
      <w:r w:rsidRPr="00923158">
        <w:rPr>
          <w:rFonts w:ascii="Arial" w:hAnsi="Arial" w:cs="Arial"/>
          <w:noProof/>
          <w:color w:val="FF0000"/>
          <w:sz w:val="16"/>
          <w:szCs w:val="14"/>
        </w:rPr>
        <w:drawing>
          <wp:inline distT="0" distB="0" distL="0" distR="0">
            <wp:extent cx="4533900" cy="2943225"/>
            <wp:effectExtent l="19050" t="0" r="19050" b="9525"/>
            <wp:docPr id="1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F3AA7" w:rsidRPr="00923158" w:rsidRDefault="00DF3AA7" w:rsidP="00DF3AA7">
      <w:pPr>
        <w:tabs>
          <w:tab w:val="left" w:pos="360"/>
        </w:tabs>
        <w:jc w:val="both"/>
        <w:rPr>
          <w:rFonts w:ascii="Arial" w:hAnsi="Arial" w:cs="Arial"/>
          <w:color w:val="FF0000"/>
          <w:sz w:val="22"/>
          <w:szCs w:val="14"/>
        </w:rPr>
      </w:pPr>
    </w:p>
    <w:p w:rsidR="00DF3AA7" w:rsidRPr="00923158" w:rsidRDefault="00DF3AA7" w:rsidP="00B76A44">
      <w:pPr>
        <w:tabs>
          <w:tab w:val="left" w:pos="360"/>
        </w:tabs>
        <w:jc w:val="both"/>
        <w:rPr>
          <w:rFonts w:ascii="Arial" w:hAnsi="Arial" w:cs="Arial"/>
          <w:b/>
          <w:bCs/>
          <w:sz w:val="22"/>
          <w:szCs w:val="14"/>
        </w:rPr>
      </w:pPr>
      <w:r w:rsidRPr="00923158">
        <w:rPr>
          <w:rFonts w:ascii="Arial" w:hAnsi="Arial" w:cs="Arial"/>
          <w:sz w:val="22"/>
          <w:szCs w:val="14"/>
        </w:rPr>
        <w:t xml:space="preserve">La Evaluación de Desempeño fue en promedio </w:t>
      </w:r>
      <w:r w:rsidR="00B76A44" w:rsidRPr="00923158">
        <w:rPr>
          <w:rFonts w:ascii="Arial" w:hAnsi="Arial" w:cs="Arial"/>
          <w:sz w:val="22"/>
          <w:szCs w:val="14"/>
        </w:rPr>
        <w:t>4,59</w:t>
      </w:r>
    </w:p>
    <w:p w:rsidR="00B76A44" w:rsidRPr="00923158" w:rsidRDefault="00B76A44" w:rsidP="00B76A44">
      <w:pPr>
        <w:tabs>
          <w:tab w:val="left" w:pos="360"/>
        </w:tabs>
        <w:jc w:val="both"/>
        <w:rPr>
          <w:rFonts w:ascii="Arial" w:hAnsi="Arial" w:cs="Arial"/>
          <w:b/>
          <w:bCs/>
          <w:color w:val="008000"/>
          <w:sz w:val="22"/>
          <w:szCs w:val="14"/>
        </w:rPr>
      </w:pPr>
    </w:p>
    <w:p w:rsidR="00DF3AA7" w:rsidRPr="00923158" w:rsidRDefault="00DF3AA7" w:rsidP="00DF3AA7">
      <w:pPr>
        <w:tabs>
          <w:tab w:val="left" w:pos="360"/>
        </w:tabs>
        <w:jc w:val="both"/>
        <w:rPr>
          <w:rFonts w:ascii="Arial" w:hAnsi="Arial" w:cs="Arial"/>
          <w:b/>
          <w:bCs/>
          <w:color w:val="008000"/>
          <w:sz w:val="22"/>
          <w:szCs w:val="14"/>
        </w:rPr>
      </w:pPr>
      <w:r w:rsidRPr="00923158">
        <w:rPr>
          <w:rFonts w:ascii="Arial" w:hAnsi="Arial" w:cs="Arial"/>
          <w:b/>
          <w:bCs/>
          <w:color w:val="008000"/>
          <w:sz w:val="22"/>
          <w:szCs w:val="14"/>
        </w:rPr>
        <w:t>4.9 PROCESO GESTION Y ASESORIA JURÍDICA.</w:t>
      </w:r>
    </w:p>
    <w:p w:rsidR="00DF3AA7" w:rsidRPr="00923158" w:rsidRDefault="00DF3AA7" w:rsidP="00DF3AA7">
      <w:pPr>
        <w:tabs>
          <w:tab w:val="left" w:pos="360"/>
        </w:tabs>
        <w:jc w:val="both"/>
        <w:rPr>
          <w:rFonts w:ascii="Arial" w:hAnsi="Arial" w:cs="Arial"/>
          <w:b/>
          <w:bCs/>
          <w:sz w:val="22"/>
          <w:szCs w:val="14"/>
        </w:rPr>
      </w:pPr>
    </w:p>
    <w:p w:rsidR="00DF3AA7" w:rsidRPr="00923158" w:rsidRDefault="00DF3AA7" w:rsidP="00DF3AA7">
      <w:pPr>
        <w:tabs>
          <w:tab w:val="left" w:pos="360"/>
        </w:tabs>
        <w:jc w:val="both"/>
        <w:rPr>
          <w:rFonts w:ascii="Arial" w:hAnsi="Arial" w:cs="Arial"/>
          <w:b/>
          <w:bCs/>
          <w:sz w:val="22"/>
          <w:szCs w:val="14"/>
        </w:rPr>
      </w:pPr>
      <w:r w:rsidRPr="00923158">
        <w:rPr>
          <w:rFonts w:ascii="Arial" w:hAnsi="Arial" w:cs="Arial"/>
          <w:sz w:val="22"/>
          <w:szCs w:val="14"/>
        </w:rPr>
        <w:t>El Dr. Hermes F. Rico Charry, hizo la presentación de los indicadores de Gestión de su proceso así:</w:t>
      </w:r>
    </w:p>
    <w:p w:rsidR="00DF3AA7" w:rsidRPr="00923158" w:rsidRDefault="00DF3AA7" w:rsidP="00DF3AA7">
      <w:pPr>
        <w:tabs>
          <w:tab w:val="left" w:pos="360"/>
        </w:tabs>
        <w:jc w:val="both"/>
        <w:rPr>
          <w:rFonts w:ascii="Arial" w:hAnsi="Arial" w:cs="Arial"/>
          <w:b/>
          <w:bCs/>
          <w:sz w:val="22"/>
          <w:szCs w:val="14"/>
        </w:rPr>
      </w:pPr>
    </w:p>
    <w:p w:rsidR="00DF3AA7" w:rsidRPr="00923158" w:rsidRDefault="00DF3AA7" w:rsidP="00DF3AA7">
      <w:pPr>
        <w:tabs>
          <w:tab w:val="left" w:pos="360"/>
        </w:tabs>
        <w:jc w:val="both"/>
        <w:rPr>
          <w:rFonts w:ascii="Arial" w:hAnsi="Arial" w:cs="Arial"/>
          <w:b/>
          <w:bCs/>
          <w:sz w:val="22"/>
          <w:szCs w:val="14"/>
        </w:rPr>
      </w:pPr>
      <w:r w:rsidRPr="00923158">
        <w:rPr>
          <w:rFonts w:ascii="Arial" w:hAnsi="Arial" w:cs="Arial"/>
          <w:b/>
          <w:bCs/>
          <w:sz w:val="22"/>
          <w:szCs w:val="14"/>
        </w:rPr>
        <w:t>% EFICACIA COBRO JURÍDICO.</w:t>
      </w:r>
    </w:p>
    <w:p w:rsidR="00DF3AA7" w:rsidRPr="00923158" w:rsidRDefault="00DF3AA7" w:rsidP="00B76A44">
      <w:pPr>
        <w:tabs>
          <w:tab w:val="left" w:pos="360"/>
        </w:tabs>
        <w:rPr>
          <w:rFonts w:ascii="Arial" w:hAnsi="Arial" w:cs="Arial"/>
          <w:b/>
          <w:bCs/>
          <w:noProof/>
          <w:sz w:val="22"/>
          <w:szCs w:val="14"/>
        </w:rPr>
      </w:pPr>
    </w:p>
    <w:p w:rsidR="00B76A44" w:rsidRDefault="00B76A44" w:rsidP="00B76A44">
      <w:pPr>
        <w:tabs>
          <w:tab w:val="left" w:pos="360"/>
        </w:tabs>
        <w:rPr>
          <w:rFonts w:ascii="Arial" w:hAnsi="Arial" w:cs="Arial"/>
          <w:b/>
          <w:bCs/>
          <w:sz w:val="16"/>
          <w:szCs w:val="14"/>
        </w:rPr>
      </w:pPr>
      <w:r>
        <w:rPr>
          <w:noProof/>
        </w:rPr>
        <w:drawing>
          <wp:inline distT="0" distB="0" distL="0" distR="0">
            <wp:extent cx="4478867" cy="2692400"/>
            <wp:effectExtent l="19050" t="0" r="16933" b="12700"/>
            <wp:docPr id="4165349" name="Gráfico 4165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F3AA7" w:rsidRDefault="00DF3AA7" w:rsidP="00DF3AA7">
      <w:pPr>
        <w:tabs>
          <w:tab w:val="left" w:pos="360"/>
        </w:tabs>
        <w:jc w:val="both"/>
        <w:rPr>
          <w:rFonts w:ascii="Arial" w:hAnsi="Arial" w:cs="Arial"/>
          <w:sz w:val="16"/>
          <w:szCs w:val="14"/>
        </w:rPr>
      </w:pPr>
    </w:p>
    <w:p w:rsidR="00DF3AA7" w:rsidRPr="00923158" w:rsidRDefault="00DF3AA7" w:rsidP="00DF3AA7">
      <w:pPr>
        <w:tabs>
          <w:tab w:val="left" w:pos="360"/>
        </w:tabs>
        <w:jc w:val="both"/>
        <w:rPr>
          <w:rFonts w:ascii="Arial" w:hAnsi="Arial" w:cs="Arial"/>
          <w:sz w:val="22"/>
          <w:szCs w:val="14"/>
        </w:rPr>
      </w:pPr>
      <w:r w:rsidRPr="00923158">
        <w:rPr>
          <w:rFonts w:ascii="Arial" w:hAnsi="Arial" w:cs="Arial"/>
          <w:sz w:val="22"/>
          <w:szCs w:val="14"/>
        </w:rPr>
        <w:t>Para el primer semestre se está realizando los cobros jurídicos en un 100%.</w:t>
      </w:r>
    </w:p>
    <w:p w:rsidR="00DF3AA7" w:rsidRDefault="00DF3AA7" w:rsidP="00DF3AA7">
      <w:pPr>
        <w:tabs>
          <w:tab w:val="left" w:pos="360"/>
        </w:tabs>
        <w:jc w:val="both"/>
        <w:rPr>
          <w:rFonts w:ascii="Arial" w:hAnsi="Arial" w:cs="Arial"/>
          <w:sz w:val="22"/>
          <w:szCs w:val="22"/>
        </w:rPr>
      </w:pPr>
    </w:p>
    <w:p w:rsidR="00923158" w:rsidRDefault="00923158" w:rsidP="00DF3AA7">
      <w:pPr>
        <w:tabs>
          <w:tab w:val="left" w:pos="360"/>
        </w:tabs>
        <w:jc w:val="both"/>
        <w:rPr>
          <w:rFonts w:ascii="Arial" w:hAnsi="Arial" w:cs="Arial"/>
          <w:sz w:val="22"/>
          <w:szCs w:val="22"/>
        </w:rPr>
      </w:pPr>
    </w:p>
    <w:p w:rsidR="00923158" w:rsidRDefault="00923158" w:rsidP="00DF3AA7">
      <w:pPr>
        <w:tabs>
          <w:tab w:val="left" w:pos="360"/>
        </w:tabs>
        <w:jc w:val="both"/>
        <w:rPr>
          <w:rFonts w:ascii="Arial" w:hAnsi="Arial" w:cs="Arial"/>
          <w:sz w:val="22"/>
          <w:szCs w:val="22"/>
        </w:rPr>
      </w:pPr>
    </w:p>
    <w:p w:rsidR="00923158" w:rsidRDefault="00923158" w:rsidP="00DF3AA7">
      <w:pPr>
        <w:tabs>
          <w:tab w:val="left" w:pos="360"/>
        </w:tabs>
        <w:jc w:val="both"/>
        <w:rPr>
          <w:rFonts w:ascii="Arial" w:hAnsi="Arial" w:cs="Arial"/>
          <w:sz w:val="22"/>
          <w:szCs w:val="22"/>
        </w:rPr>
      </w:pPr>
    </w:p>
    <w:p w:rsidR="00923158" w:rsidRDefault="00923158" w:rsidP="00DF3AA7">
      <w:pPr>
        <w:tabs>
          <w:tab w:val="left" w:pos="360"/>
        </w:tabs>
        <w:jc w:val="both"/>
        <w:rPr>
          <w:rFonts w:ascii="Arial" w:hAnsi="Arial" w:cs="Arial"/>
          <w:sz w:val="22"/>
          <w:szCs w:val="22"/>
        </w:rPr>
      </w:pPr>
    </w:p>
    <w:p w:rsidR="00923158" w:rsidRPr="00923158" w:rsidRDefault="00923158" w:rsidP="00DF3AA7">
      <w:pPr>
        <w:tabs>
          <w:tab w:val="left" w:pos="360"/>
        </w:tabs>
        <w:jc w:val="both"/>
        <w:rPr>
          <w:rFonts w:ascii="Arial" w:hAnsi="Arial" w:cs="Arial"/>
          <w:sz w:val="22"/>
          <w:szCs w:val="22"/>
        </w:rPr>
      </w:pPr>
    </w:p>
    <w:p w:rsidR="00DF3AA7" w:rsidRPr="00923158" w:rsidRDefault="00DF3AA7" w:rsidP="00DF3AA7">
      <w:pPr>
        <w:tabs>
          <w:tab w:val="left" w:pos="360"/>
        </w:tabs>
        <w:jc w:val="both"/>
        <w:rPr>
          <w:rFonts w:ascii="Arial" w:hAnsi="Arial" w:cs="Arial"/>
          <w:sz w:val="22"/>
          <w:szCs w:val="22"/>
        </w:rPr>
      </w:pPr>
    </w:p>
    <w:p w:rsidR="00DF3AA7" w:rsidRPr="00923158" w:rsidRDefault="00DF3AA7" w:rsidP="00DF3AA7">
      <w:pPr>
        <w:tabs>
          <w:tab w:val="left" w:pos="360"/>
        </w:tabs>
        <w:jc w:val="both"/>
        <w:rPr>
          <w:rFonts w:ascii="Arial" w:hAnsi="Arial" w:cs="Arial"/>
          <w:b/>
          <w:bCs/>
          <w:sz w:val="22"/>
          <w:szCs w:val="22"/>
        </w:rPr>
      </w:pPr>
      <w:r w:rsidRPr="00923158">
        <w:rPr>
          <w:rFonts w:ascii="Arial" w:hAnsi="Arial" w:cs="Arial"/>
          <w:b/>
          <w:bCs/>
          <w:sz w:val="22"/>
          <w:szCs w:val="22"/>
        </w:rPr>
        <w:t>%EFICACIA ELABORACIÓN DE CONTRATOS</w:t>
      </w:r>
    </w:p>
    <w:p w:rsidR="00DF3AA7" w:rsidRPr="00923158" w:rsidRDefault="00DF3AA7" w:rsidP="00DF3AA7">
      <w:pPr>
        <w:tabs>
          <w:tab w:val="left" w:pos="360"/>
        </w:tabs>
        <w:jc w:val="both"/>
        <w:rPr>
          <w:rFonts w:ascii="Arial" w:hAnsi="Arial" w:cs="Arial"/>
          <w:sz w:val="22"/>
          <w:szCs w:val="22"/>
        </w:rPr>
      </w:pPr>
    </w:p>
    <w:p w:rsidR="00DF3AA7" w:rsidRDefault="00B76A44" w:rsidP="00B76A44">
      <w:pPr>
        <w:tabs>
          <w:tab w:val="left" w:pos="360"/>
        </w:tabs>
        <w:rPr>
          <w:rFonts w:ascii="Arial" w:hAnsi="Arial" w:cs="Arial"/>
          <w:sz w:val="16"/>
          <w:szCs w:val="14"/>
        </w:rPr>
      </w:pPr>
      <w:r>
        <w:rPr>
          <w:noProof/>
        </w:rPr>
        <w:drawing>
          <wp:inline distT="0" distB="0" distL="0" distR="0">
            <wp:extent cx="4643966" cy="2717800"/>
            <wp:effectExtent l="19050" t="0" r="23284" b="25400"/>
            <wp:docPr id="4165351" name="Gráfico 4165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F3AA7" w:rsidRPr="00923158" w:rsidRDefault="00DF3AA7" w:rsidP="00DF3AA7">
      <w:pPr>
        <w:tabs>
          <w:tab w:val="left" w:pos="360"/>
        </w:tabs>
        <w:jc w:val="center"/>
        <w:rPr>
          <w:rFonts w:ascii="Arial" w:hAnsi="Arial" w:cs="Arial"/>
          <w:sz w:val="22"/>
          <w:szCs w:val="14"/>
        </w:rPr>
      </w:pPr>
    </w:p>
    <w:p w:rsidR="00DF3AA7" w:rsidRPr="00923158" w:rsidRDefault="00DF3AA7" w:rsidP="00DF3AA7">
      <w:pPr>
        <w:tabs>
          <w:tab w:val="left" w:pos="360"/>
        </w:tabs>
        <w:jc w:val="both"/>
        <w:rPr>
          <w:rFonts w:ascii="Arial" w:hAnsi="Arial" w:cs="Arial"/>
          <w:bCs/>
          <w:sz w:val="22"/>
          <w:szCs w:val="14"/>
        </w:rPr>
      </w:pPr>
      <w:r w:rsidRPr="00923158">
        <w:rPr>
          <w:rFonts w:ascii="Arial" w:hAnsi="Arial" w:cs="Arial"/>
          <w:bCs/>
          <w:sz w:val="22"/>
          <w:szCs w:val="14"/>
        </w:rPr>
        <w:t xml:space="preserve">Se logro un 100% en la elaboración de contratos correspondientes al plan de compras y que han sido solicitados al proceso Jurídico. </w:t>
      </w:r>
    </w:p>
    <w:p w:rsidR="00DF3AA7" w:rsidRPr="00923158" w:rsidRDefault="00DF3AA7" w:rsidP="00DF3AA7">
      <w:pPr>
        <w:tabs>
          <w:tab w:val="left" w:pos="360"/>
        </w:tabs>
        <w:jc w:val="both"/>
        <w:rPr>
          <w:rFonts w:ascii="Arial" w:hAnsi="Arial" w:cs="Arial"/>
          <w:sz w:val="22"/>
          <w:szCs w:val="14"/>
        </w:rPr>
      </w:pPr>
    </w:p>
    <w:p w:rsidR="00DF3AA7" w:rsidRPr="00923158" w:rsidRDefault="00DF3AA7" w:rsidP="00DF3AA7">
      <w:pPr>
        <w:tabs>
          <w:tab w:val="left" w:pos="360"/>
        </w:tabs>
        <w:jc w:val="both"/>
        <w:rPr>
          <w:rFonts w:ascii="Arial" w:hAnsi="Arial" w:cs="Arial"/>
          <w:b/>
          <w:bCs/>
          <w:sz w:val="22"/>
          <w:szCs w:val="14"/>
        </w:rPr>
      </w:pPr>
      <w:r w:rsidRPr="00923158">
        <w:rPr>
          <w:rFonts w:ascii="Arial" w:hAnsi="Arial" w:cs="Arial"/>
          <w:b/>
          <w:bCs/>
          <w:sz w:val="22"/>
          <w:szCs w:val="14"/>
        </w:rPr>
        <w:t>% AVANCE ACTUACIONES PROCESOS JURIDICOS ACTIVOS</w:t>
      </w:r>
    </w:p>
    <w:p w:rsidR="00B76A44" w:rsidRDefault="00B76A44" w:rsidP="00B76A44">
      <w:pPr>
        <w:tabs>
          <w:tab w:val="left" w:pos="360"/>
        </w:tabs>
        <w:rPr>
          <w:rFonts w:ascii="Arial" w:hAnsi="Arial" w:cs="Arial"/>
          <w:bCs/>
          <w:noProof/>
          <w:sz w:val="16"/>
          <w:szCs w:val="14"/>
        </w:rPr>
      </w:pPr>
    </w:p>
    <w:p w:rsidR="00B76A44" w:rsidRDefault="00B76A44" w:rsidP="00B76A44">
      <w:pPr>
        <w:tabs>
          <w:tab w:val="left" w:pos="360"/>
        </w:tabs>
        <w:rPr>
          <w:rFonts w:ascii="Arial" w:hAnsi="Arial" w:cs="Arial"/>
          <w:bCs/>
          <w:noProof/>
          <w:sz w:val="16"/>
          <w:szCs w:val="14"/>
        </w:rPr>
      </w:pPr>
      <w:r>
        <w:rPr>
          <w:noProof/>
        </w:rPr>
        <w:drawing>
          <wp:inline distT="0" distB="0" distL="0" distR="0">
            <wp:extent cx="4440767" cy="2679700"/>
            <wp:effectExtent l="19050" t="0" r="16933" b="25400"/>
            <wp:docPr id="4165353" name="Gráfico 4165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76A44" w:rsidRDefault="00B76A44" w:rsidP="00B76A44">
      <w:pPr>
        <w:tabs>
          <w:tab w:val="left" w:pos="360"/>
        </w:tabs>
        <w:rPr>
          <w:rFonts w:ascii="Arial" w:hAnsi="Arial" w:cs="Arial"/>
          <w:bCs/>
          <w:noProof/>
          <w:sz w:val="16"/>
          <w:szCs w:val="14"/>
        </w:rPr>
      </w:pPr>
    </w:p>
    <w:p w:rsidR="00B76A44" w:rsidRPr="00FE6250" w:rsidRDefault="00B76A44" w:rsidP="00B76A44">
      <w:pPr>
        <w:tabs>
          <w:tab w:val="left" w:pos="360"/>
        </w:tabs>
        <w:rPr>
          <w:rFonts w:ascii="Arial" w:hAnsi="Arial" w:cs="Arial"/>
          <w:bCs/>
          <w:sz w:val="22"/>
          <w:szCs w:val="22"/>
        </w:rPr>
      </w:pPr>
    </w:p>
    <w:p w:rsidR="00DF3AA7" w:rsidRPr="00FE6250" w:rsidRDefault="00DF3AA7" w:rsidP="00DF3AA7">
      <w:pPr>
        <w:tabs>
          <w:tab w:val="left" w:pos="360"/>
        </w:tabs>
        <w:jc w:val="both"/>
        <w:rPr>
          <w:rFonts w:ascii="Arial" w:hAnsi="Arial" w:cs="Arial"/>
          <w:b/>
          <w:bCs/>
          <w:color w:val="008000"/>
          <w:sz w:val="22"/>
          <w:szCs w:val="22"/>
        </w:rPr>
      </w:pPr>
      <w:r w:rsidRPr="00FE6250">
        <w:rPr>
          <w:rFonts w:ascii="Arial" w:hAnsi="Arial" w:cs="Arial"/>
          <w:bCs/>
          <w:sz w:val="22"/>
          <w:szCs w:val="22"/>
        </w:rPr>
        <w:t>El avance de los diferentes procesos jurídicos que se les realiza seguimiento se encuentra en el 100%.</w:t>
      </w:r>
    </w:p>
    <w:p w:rsidR="00B76A44" w:rsidRPr="00FE6250" w:rsidRDefault="00B76A44" w:rsidP="00DF3AA7">
      <w:pPr>
        <w:tabs>
          <w:tab w:val="left" w:pos="360"/>
        </w:tabs>
        <w:jc w:val="both"/>
        <w:rPr>
          <w:rFonts w:ascii="Arial" w:hAnsi="Arial" w:cs="Arial"/>
          <w:b/>
          <w:bCs/>
          <w:color w:val="008000"/>
          <w:sz w:val="22"/>
          <w:szCs w:val="22"/>
        </w:rPr>
      </w:pPr>
    </w:p>
    <w:p w:rsidR="00DF3AA7" w:rsidRPr="00FE6250" w:rsidRDefault="00DF3AA7" w:rsidP="00DF3AA7">
      <w:pPr>
        <w:tabs>
          <w:tab w:val="left" w:pos="360"/>
        </w:tabs>
        <w:jc w:val="both"/>
        <w:rPr>
          <w:rFonts w:ascii="Arial" w:hAnsi="Arial" w:cs="Arial"/>
          <w:b/>
          <w:bCs/>
          <w:color w:val="008000"/>
          <w:sz w:val="22"/>
          <w:szCs w:val="22"/>
        </w:rPr>
      </w:pPr>
      <w:r w:rsidRPr="00FE6250">
        <w:rPr>
          <w:rFonts w:ascii="Arial" w:hAnsi="Arial" w:cs="Arial"/>
          <w:b/>
          <w:bCs/>
          <w:color w:val="008000"/>
          <w:sz w:val="22"/>
          <w:szCs w:val="22"/>
        </w:rPr>
        <w:t>4.10  PROCESO GESTION DE ARCHIVO</w:t>
      </w:r>
    </w:p>
    <w:p w:rsidR="00DF3AA7" w:rsidRPr="00FE6250" w:rsidRDefault="00DF3AA7" w:rsidP="00DF3AA7">
      <w:pPr>
        <w:tabs>
          <w:tab w:val="left" w:pos="360"/>
        </w:tabs>
        <w:jc w:val="both"/>
        <w:rPr>
          <w:rFonts w:ascii="Arial" w:hAnsi="Arial" w:cs="Arial"/>
          <w:sz w:val="22"/>
          <w:szCs w:val="22"/>
        </w:rPr>
      </w:pPr>
      <w:r w:rsidRPr="00FE6250">
        <w:rPr>
          <w:rFonts w:ascii="Arial" w:hAnsi="Arial" w:cs="Arial"/>
          <w:sz w:val="22"/>
          <w:szCs w:val="22"/>
        </w:rPr>
        <w:t>La Dra.  Cecilia Virviescas, entrego informe de Auto evaluación de la Gestión y  expuso el resultado de los indicadores así:</w:t>
      </w:r>
    </w:p>
    <w:p w:rsidR="00DF3AA7" w:rsidRPr="00FE6250" w:rsidRDefault="00DF3AA7" w:rsidP="00DF3AA7">
      <w:pPr>
        <w:tabs>
          <w:tab w:val="left" w:pos="360"/>
        </w:tabs>
        <w:jc w:val="center"/>
        <w:rPr>
          <w:noProof/>
          <w:sz w:val="22"/>
          <w:szCs w:val="22"/>
          <w:lang w:val="es-CO" w:eastAsia="es-CO"/>
        </w:rPr>
      </w:pPr>
    </w:p>
    <w:p w:rsidR="00DF3AA7" w:rsidRPr="00FE6250" w:rsidRDefault="00DF3AA7" w:rsidP="00DF3AA7">
      <w:pPr>
        <w:tabs>
          <w:tab w:val="left" w:pos="360"/>
        </w:tabs>
        <w:jc w:val="both"/>
        <w:rPr>
          <w:rFonts w:ascii="Arial" w:hAnsi="Arial" w:cs="Arial"/>
          <w:b/>
          <w:bCs/>
          <w:sz w:val="22"/>
          <w:szCs w:val="22"/>
        </w:rPr>
      </w:pPr>
      <w:r w:rsidRPr="00FE6250">
        <w:rPr>
          <w:rFonts w:ascii="Arial" w:hAnsi="Arial" w:cs="Arial"/>
          <w:b/>
          <w:bCs/>
          <w:sz w:val="22"/>
          <w:szCs w:val="22"/>
        </w:rPr>
        <w:t>%EFECTIVIDAD DE CONSULTAS</w:t>
      </w:r>
    </w:p>
    <w:p w:rsidR="00DF3AA7" w:rsidRPr="00FE6250" w:rsidRDefault="00DF3AA7" w:rsidP="00DF3AA7">
      <w:pPr>
        <w:tabs>
          <w:tab w:val="left" w:pos="360"/>
        </w:tabs>
        <w:jc w:val="both"/>
        <w:rPr>
          <w:rFonts w:ascii="Arial" w:hAnsi="Arial" w:cs="Arial"/>
          <w:b/>
          <w:bCs/>
          <w:noProof/>
          <w:sz w:val="22"/>
          <w:szCs w:val="22"/>
        </w:rPr>
      </w:pPr>
    </w:p>
    <w:p w:rsidR="00B76A44" w:rsidRDefault="00B76A44" w:rsidP="00DF3AA7">
      <w:pPr>
        <w:tabs>
          <w:tab w:val="left" w:pos="360"/>
        </w:tabs>
        <w:jc w:val="both"/>
        <w:rPr>
          <w:rFonts w:ascii="Arial" w:hAnsi="Arial" w:cs="Arial"/>
          <w:b/>
          <w:bCs/>
          <w:sz w:val="16"/>
          <w:szCs w:val="14"/>
        </w:rPr>
      </w:pPr>
    </w:p>
    <w:p w:rsidR="00DF3AA7" w:rsidRDefault="00053673" w:rsidP="00DF3AA7">
      <w:pPr>
        <w:tabs>
          <w:tab w:val="left" w:pos="360"/>
        </w:tabs>
        <w:jc w:val="both"/>
        <w:rPr>
          <w:rFonts w:ascii="Arial" w:hAnsi="Arial" w:cs="Arial"/>
          <w:b/>
          <w:bCs/>
          <w:sz w:val="16"/>
          <w:szCs w:val="14"/>
        </w:rPr>
      </w:pPr>
      <w:r w:rsidRPr="00053673">
        <w:rPr>
          <w:rFonts w:ascii="Arial" w:hAnsi="Arial" w:cs="Arial"/>
          <w:b/>
          <w:bCs/>
          <w:noProof/>
          <w:sz w:val="16"/>
          <w:szCs w:val="14"/>
        </w:rPr>
        <w:drawing>
          <wp:inline distT="0" distB="0" distL="0" distR="0">
            <wp:extent cx="3971925" cy="2832100"/>
            <wp:effectExtent l="19050" t="0" r="9525" b="25400"/>
            <wp:docPr id="1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F3AA7" w:rsidRDefault="00DF3AA7" w:rsidP="00DF3AA7">
      <w:pPr>
        <w:tabs>
          <w:tab w:val="left" w:pos="360"/>
        </w:tabs>
        <w:jc w:val="both"/>
        <w:rPr>
          <w:rFonts w:ascii="Arial" w:hAnsi="Arial" w:cs="Arial"/>
          <w:b/>
          <w:bCs/>
          <w:sz w:val="16"/>
          <w:szCs w:val="14"/>
        </w:rPr>
      </w:pPr>
    </w:p>
    <w:p w:rsidR="003B36AC" w:rsidRDefault="003B36AC" w:rsidP="003B36AC">
      <w:pPr>
        <w:tabs>
          <w:tab w:val="left" w:pos="360"/>
        </w:tabs>
        <w:jc w:val="both"/>
        <w:rPr>
          <w:rFonts w:ascii="Arial" w:hAnsi="Arial" w:cs="Arial"/>
          <w:sz w:val="22"/>
          <w:szCs w:val="22"/>
        </w:rPr>
      </w:pPr>
      <w:r w:rsidRPr="00053673">
        <w:rPr>
          <w:rFonts w:ascii="Arial" w:hAnsi="Arial" w:cs="Arial"/>
          <w:sz w:val="22"/>
          <w:szCs w:val="22"/>
        </w:rPr>
        <w:t xml:space="preserve">Se  atendieron  el 100% de las  34 Solicitudes de documentos en forma satisfactoria, para las oficinas de ASI: CONVENIOS Y CARTERA=, JURIDICA , TESORERIA  FINANCIERA. Y CONTABILIDAD .En este periodo se ingreso  21 cajas con documentos al archivo </w:t>
      </w:r>
      <w:r w:rsidR="00053673" w:rsidRPr="00053673">
        <w:rPr>
          <w:rFonts w:ascii="Arial" w:hAnsi="Arial" w:cs="Arial"/>
          <w:sz w:val="22"/>
          <w:szCs w:val="22"/>
        </w:rPr>
        <w:t>central,</w:t>
      </w:r>
      <w:r w:rsidRPr="00053673">
        <w:rPr>
          <w:rFonts w:ascii="Arial" w:hAnsi="Arial" w:cs="Arial"/>
          <w:sz w:val="22"/>
          <w:szCs w:val="22"/>
        </w:rPr>
        <w:t xml:space="preserve"> los cuales fueron  digitalizados. y enviados a MTI.</w:t>
      </w:r>
    </w:p>
    <w:p w:rsidR="00053673" w:rsidRPr="00053673" w:rsidRDefault="00053673" w:rsidP="003B36AC">
      <w:pPr>
        <w:tabs>
          <w:tab w:val="left" w:pos="360"/>
        </w:tabs>
        <w:jc w:val="both"/>
        <w:rPr>
          <w:rFonts w:ascii="Arial" w:hAnsi="Arial" w:cs="Arial"/>
          <w:sz w:val="22"/>
          <w:szCs w:val="22"/>
          <w:lang w:val="es-ES_tradnl"/>
        </w:rPr>
      </w:pPr>
    </w:p>
    <w:p w:rsidR="003B36AC" w:rsidRDefault="003B36AC" w:rsidP="003B36AC">
      <w:pPr>
        <w:tabs>
          <w:tab w:val="left" w:pos="360"/>
        </w:tabs>
        <w:jc w:val="both"/>
        <w:rPr>
          <w:rFonts w:ascii="Arial" w:hAnsi="Arial" w:cs="Arial"/>
          <w:sz w:val="22"/>
          <w:szCs w:val="22"/>
        </w:rPr>
      </w:pPr>
      <w:r w:rsidRPr="00053673">
        <w:rPr>
          <w:rFonts w:ascii="Arial" w:hAnsi="Arial" w:cs="Arial"/>
          <w:sz w:val="22"/>
          <w:szCs w:val="22"/>
        </w:rPr>
        <w:t xml:space="preserve">Los back ups se realizan </w:t>
      </w:r>
      <w:r w:rsidR="00053673" w:rsidRPr="00053673">
        <w:rPr>
          <w:rFonts w:ascii="Arial" w:hAnsi="Arial" w:cs="Arial"/>
          <w:sz w:val="22"/>
          <w:szCs w:val="22"/>
        </w:rPr>
        <w:t>automáticamente</w:t>
      </w:r>
      <w:r w:rsidRPr="00053673">
        <w:rPr>
          <w:rFonts w:ascii="Arial" w:hAnsi="Arial" w:cs="Arial"/>
          <w:sz w:val="22"/>
          <w:szCs w:val="22"/>
        </w:rPr>
        <w:t xml:space="preserve"> desde el servidor.</w:t>
      </w:r>
    </w:p>
    <w:p w:rsidR="00053673" w:rsidRPr="00053673" w:rsidRDefault="00053673" w:rsidP="003B36AC">
      <w:pPr>
        <w:tabs>
          <w:tab w:val="left" w:pos="360"/>
        </w:tabs>
        <w:jc w:val="both"/>
        <w:rPr>
          <w:rFonts w:ascii="Arial" w:hAnsi="Arial" w:cs="Arial"/>
          <w:sz w:val="22"/>
          <w:szCs w:val="22"/>
          <w:rtl/>
        </w:rPr>
      </w:pPr>
    </w:p>
    <w:p w:rsidR="003B36AC" w:rsidRPr="00053673" w:rsidRDefault="003B36AC" w:rsidP="003B36AC">
      <w:pPr>
        <w:tabs>
          <w:tab w:val="left" w:pos="360"/>
        </w:tabs>
        <w:jc w:val="both"/>
        <w:rPr>
          <w:rFonts w:ascii="Arial" w:hAnsi="Arial" w:cs="Arial"/>
          <w:sz w:val="22"/>
          <w:szCs w:val="22"/>
          <w:lang w:val="es-ES_tradnl"/>
        </w:rPr>
      </w:pPr>
      <w:r w:rsidRPr="00053673">
        <w:rPr>
          <w:rFonts w:ascii="Arial" w:hAnsi="Arial" w:cs="Arial"/>
          <w:sz w:val="22"/>
          <w:szCs w:val="22"/>
        </w:rPr>
        <w:t xml:space="preserve">Como mejora al proceso contamos con un apoyo contratista para adelantar la escaneada del archivo  inicial del </w:t>
      </w:r>
      <w:r w:rsidR="00053673" w:rsidRPr="00053673">
        <w:rPr>
          <w:rFonts w:ascii="Arial" w:hAnsi="Arial" w:cs="Arial"/>
          <w:sz w:val="22"/>
          <w:szCs w:val="22"/>
        </w:rPr>
        <w:t>Instituto</w:t>
      </w:r>
      <w:r w:rsidRPr="00053673">
        <w:rPr>
          <w:rFonts w:ascii="Arial" w:hAnsi="Arial" w:cs="Arial"/>
          <w:sz w:val="22"/>
          <w:szCs w:val="22"/>
        </w:rPr>
        <w:t xml:space="preserve"> y a la fecha se ha escaneado de la caja 38 A 67. </w:t>
      </w:r>
    </w:p>
    <w:p w:rsidR="00DF3AA7" w:rsidRPr="00053673" w:rsidRDefault="00DF3AA7" w:rsidP="00DF3AA7">
      <w:pPr>
        <w:tabs>
          <w:tab w:val="left" w:pos="360"/>
        </w:tabs>
        <w:jc w:val="both"/>
        <w:rPr>
          <w:rFonts w:ascii="Arial" w:hAnsi="Arial" w:cs="Arial"/>
          <w:b/>
          <w:bCs/>
          <w:sz w:val="22"/>
          <w:szCs w:val="22"/>
        </w:rPr>
      </w:pPr>
    </w:p>
    <w:p w:rsidR="00DF3AA7" w:rsidRDefault="00DF3AA7" w:rsidP="00DF3AA7">
      <w:pPr>
        <w:rPr>
          <w:rFonts w:ascii="Arial" w:hAnsi="Arial" w:cs="Arial"/>
          <w:b/>
          <w:bCs/>
          <w:color w:val="008000"/>
          <w:sz w:val="16"/>
          <w:szCs w:val="14"/>
        </w:rPr>
      </w:pPr>
    </w:p>
    <w:p w:rsidR="00DF3AA7" w:rsidRPr="004619C9" w:rsidRDefault="00DF3AA7" w:rsidP="00DF3AA7">
      <w:pPr>
        <w:tabs>
          <w:tab w:val="left" w:pos="360"/>
        </w:tabs>
        <w:jc w:val="both"/>
        <w:rPr>
          <w:rFonts w:ascii="Arial" w:hAnsi="Arial" w:cs="Arial"/>
          <w:b/>
          <w:bCs/>
          <w:color w:val="008000"/>
          <w:sz w:val="22"/>
          <w:szCs w:val="22"/>
        </w:rPr>
      </w:pPr>
      <w:r w:rsidRPr="004619C9">
        <w:rPr>
          <w:rFonts w:ascii="Arial" w:hAnsi="Arial" w:cs="Arial"/>
          <w:b/>
          <w:bCs/>
          <w:color w:val="008000"/>
          <w:sz w:val="22"/>
          <w:szCs w:val="22"/>
        </w:rPr>
        <w:t>4.11 CONTROL INTERNO</w:t>
      </w:r>
    </w:p>
    <w:p w:rsidR="00DF3AA7" w:rsidRPr="004619C9" w:rsidRDefault="00DF3AA7" w:rsidP="00DF3AA7">
      <w:pPr>
        <w:tabs>
          <w:tab w:val="left" w:pos="360"/>
        </w:tabs>
        <w:jc w:val="both"/>
        <w:rPr>
          <w:rFonts w:ascii="Arial" w:hAnsi="Arial" w:cs="Arial"/>
          <w:b/>
          <w:bCs/>
          <w:sz w:val="22"/>
          <w:szCs w:val="22"/>
        </w:rPr>
      </w:pPr>
    </w:p>
    <w:p w:rsidR="00DF3AA7" w:rsidRPr="004619C9" w:rsidRDefault="00DF3AA7" w:rsidP="00DF3AA7">
      <w:pPr>
        <w:tabs>
          <w:tab w:val="left" w:pos="360"/>
        </w:tabs>
        <w:jc w:val="both"/>
        <w:rPr>
          <w:rFonts w:ascii="Arial" w:hAnsi="Arial" w:cs="Arial"/>
          <w:b/>
          <w:bCs/>
          <w:sz w:val="22"/>
          <w:szCs w:val="22"/>
        </w:rPr>
      </w:pPr>
      <w:r w:rsidRPr="004619C9">
        <w:rPr>
          <w:rFonts w:ascii="Arial" w:hAnsi="Arial" w:cs="Arial"/>
          <w:sz w:val="22"/>
          <w:szCs w:val="22"/>
        </w:rPr>
        <w:t>El Doctor Ernesto Villalba, hizo la presentación de los indicadores de Gestión de su proceso así:</w:t>
      </w:r>
    </w:p>
    <w:p w:rsidR="00DF3AA7" w:rsidRPr="004619C9" w:rsidRDefault="00DF3AA7" w:rsidP="00DF3AA7">
      <w:pPr>
        <w:tabs>
          <w:tab w:val="left" w:pos="360"/>
        </w:tabs>
        <w:jc w:val="both"/>
        <w:rPr>
          <w:rFonts w:ascii="Arial" w:hAnsi="Arial" w:cs="Arial"/>
          <w:b/>
          <w:bCs/>
          <w:sz w:val="22"/>
          <w:szCs w:val="22"/>
        </w:rPr>
      </w:pPr>
    </w:p>
    <w:p w:rsidR="00DF3AA7" w:rsidRPr="004619C9" w:rsidRDefault="00DF3AA7" w:rsidP="00DF3AA7">
      <w:pPr>
        <w:tabs>
          <w:tab w:val="left" w:pos="360"/>
        </w:tabs>
        <w:jc w:val="both"/>
        <w:rPr>
          <w:rFonts w:ascii="Arial" w:hAnsi="Arial" w:cs="Arial"/>
          <w:b/>
          <w:bCs/>
          <w:sz w:val="22"/>
          <w:szCs w:val="22"/>
        </w:rPr>
      </w:pPr>
      <w:r w:rsidRPr="004619C9">
        <w:rPr>
          <w:rFonts w:ascii="Arial" w:hAnsi="Arial" w:cs="Arial"/>
          <w:b/>
          <w:bCs/>
          <w:sz w:val="22"/>
          <w:szCs w:val="22"/>
        </w:rPr>
        <w:t>% CUMPLIMIENTO DEL PROGRAMA DE CONTROL INTERNO</w:t>
      </w:r>
    </w:p>
    <w:p w:rsidR="00DF3AA7" w:rsidRPr="004619C9" w:rsidRDefault="00DF3AA7" w:rsidP="00DF3AA7">
      <w:pPr>
        <w:tabs>
          <w:tab w:val="left" w:pos="360"/>
        </w:tabs>
        <w:jc w:val="center"/>
        <w:rPr>
          <w:rFonts w:ascii="Arial" w:hAnsi="Arial" w:cs="Arial"/>
          <w:b/>
          <w:bCs/>
          <w:noProof/>
          <w:sz w:val="22"/>
          <w:szCs w:val="22"/>
        </w:rPr>
      </w:pPr>
    </w:p>
    <w:p w:rsidR="00047DB8" w:rsidRDefault="00047DB8" w:rsidP="00DF3AA7">
      <w:pPr>
        <w:tabs>
          <w:tab w:val="left" w:pos="360"/>
        </w:tabs>
        <w:jc w:val="center"/>
        <w:rPr>
          <w:rFonts w:ascii="Arial" w:hAnsi="Arial" w:cs="Arial"/>
          <w:b/>
          <w:bCs/>
          <w:sz w:val="16"/>
          <w:szCs w:val="14"/>
          <w:highlight w:val="yellow"/>
        </w:rPr>
      </w:pPr>
      <w:r>
        <w:rPr>
          <w:noProof/>
        </w:rPr>
        <w:drawing>
          <wp:inline distT="0" distB="0" distL="0" distR="0">
            <wp:extent cx="3589867" cy="2501900"/>
            <wp:effectExtent l="19050" t="0" r="10583" b="12700"/>
            <wp:docPr id="4165357" name="Gráfico 4165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47DB8" w:rsidRPr="00053673" w:rsidRDefault="00047DB8" w:rsidP="00047DB8">
      <w:pPr>
        <w:tabs>
          <w:tab w:val="left" w:pos="360"/>
        </w:tabs>
        <w:jc w:val="both"/>
        <w:rPr>
          <w:rFonts w:ascii="Arial" w:hAnsi="Arial" w:cs="Arial"/>
          <w:bCs/>
          <w:sz w:val="22"/>
          <w:szCs w:val="22"/>
          <w:lang w:val="es-ES_tradnl"/>
        </w:rPr>
      </w:pPr>
      <w:r w:rsidRPr="00053673">
        <w:rPr>
          <w:rFonts w:ascii="Arial" w:hAnsi="Arial" w:cs="Arial"/>
          <w:bCs/>
          <w:sz w:val="22"/>
          <w:szCs w:val="22"/>
          <w:lang w:val="es-CO"/>
        </w:rPr>
        <w:t xml:space="preserve">El análisis de la   gráfica  muestra ejecución del  100 % ya que se tenían programadas  10 actividades   para el </w:t>
      </w:r>
      <w:r w:rsidR="00053673" w:rsidRPr="00053673">
        <w:rPr>
          <w:rFonts w:ascii="Arial" w:hAnsi="Arial" w:cs="Arial"/>
          <w:bCs/>
          <w:sz w:val="22"/>
          <w:szCs w:val="22"/>
          <w:lang w:val="es-CO"/>
        </w:rPr>
        <w:t>último</w:t>
      </w:r>
      <w:r w:rsidRPr="00053673">
        <w:rPr>
          <w:rFonts w:ascii="Arial" w:hAnsi="Arial" w:cs="Arial"/>
          <w:bCs/>
          <w:sz w:val="22"/>
          <w:szCs w:val="22"/>
          <w:lang w:val="es-CO"/>
        </w:rPr>
        <w:t xml:space="preserve"> trimestre </w:t>
      </w:r>
      <w:r w:rsidR="00053673">
        <w:rPr>
          <w:rFonts w:ascii="Arial" w:hAnsi="Arial" w:cs="Arial"/>
          <w:bCs/>
          <w:sz w:val="22"/>
          <w:szCs w:val="22"/>
          <w:lang w:val="es-CO"/>
        </w:rPr>
        <w:t>de 2014  y se cumplieron  10, l</w:t>
      </w:r>
      <w:r w:rsidRPr="00053673">
        <w:rPr>
          <w:rFonts w:ascii="Arial" w:hAnsi="Arial" w:cs="Arial"/>
          <w:bCs/>
          <w:sz w:val="22"/>
          <w:szCs w:val="22"/>
          <w:lang w:val="es-CO"/>
        </w:rPr>
        <w:t xml:space="preserve">o que genera un  indicador  un rango   muy bueno Entre las actividades desarrolladas , cuatro corresponden  auditorias  aleatorias  a procedimientos de los siguientes procesos: Procesos  de cartera  </w:t>
      </w:r>
      <w:r w:rsidR="00053673" w:rsidRPr="00053673">
        <w:rPr>
          <w:rFonts w:ascii="Arial" w:hAnsi="Arial" w:cs="Arial"/>
          <w:bCs/>
          <w:sz w:val="22"/>
          <w:szCs w:val="22"/>
          <w:lang w:val="es-CO"/>
        </w:rPr>
        <w:t>revisión</w:t>
      </w:r>
      <w:r w:rsidRPr="00053673">
        <w:rPr>
          <w:rFonts w:ascii="Arial" w:hAnsi="Arial" w:cs="Arial"/>
          <w:bCs/>
          <w:sz w:val="22"/>
          <w:szCs w:val="22"/>
          <w:lang w:val="es-CO"/>
        </w:rPr>
        <w:t xml:space="preserve"> procedimientos y controles , gerencia, </w:t>
      </w:r>
      <w:r w:rsidR="00053673" w:rsidRPr="00053673">
        <w:rPr>
          <w:rFonts w:ascii="Arial" w:hAnsi="Arial" w:cs="Arial"/>
          <w:bCs/>
          <w:sz w:val="22"/>
          <w:szCs w:val="22"/>
          <w:lang w:val="es-CO"/>
        </w:rPr>
        <w:t>revisión</w:t>
      </w:r>
      <w:r w:rsidRPr="00053673">
        <w:rPr>
          <w:rFonts w:ascii="Arial" w:hAnsi="Arial" w:cs="Arial"/>
          <w:bCs/>
          <w:sz w:val="22"/>
          <w:szCs w:val="22"/>
          <w:lang w:val="es-CO"/>
        </w:rPr>
        <w:t xml:space="preserve"> plan de accion, </w:t>
      </w:r>
      <w:r w:rsidR="00053673" w:rsidRPr="00053673">
        <w:rPr>
          <w:rFonts w:ascii="Arial" w:hAnsi="Arial" w:cs="Arial"/>
          <w:bCs/>
          <w:sz w:val="22"/>
          <w:szCs w:val="22"/>
          <w:lang w:val="es-CO"/>
        </w:rPr>
        <w:t>jurídica</w:t>
      </w:r>
      <w:r w:rsidRPr="00053673">
        <w:rPr>
          <w:rFonts w:ascii="Arial" w:hAnsi="Arial" w:cs="Arial"/>
          <w:bCs/>
          <w:sz w:val="22"/>
          <w:szCs w:val="22"/>
          <w:lang w:val="es-CO"/>
        </w:rPr>
        <w:t xml:space="preserve"> revision demandas, cartera  partido de conciliacion.</w:t>
      </w:r>
    </w:p>
    <w:p w:rsidR="00DF3AA7" w:rsidRPr="00053673" w:rsidRDefault="00DF3AA7" w:rsidP="00DF3AA7">
      <w:pPr>
        <w:tabs>
          <w:tab w:val="left" w:pos="360"/>
        </w:tabs>
        <w:jc w:val="both"/>
        <w:rPr>
          <w:rFonts w:ascii="Arial" w:hAnsi="Arial" w:cs="Arial"/>
          <w:b/>
          <w:bCs/>
          <w:sz w:val="22"/>
          <w:szCs w:val="22"/>
          <w:highlight w:val="yellow"/>
        </w:rPr>
      </w:pPr>
      <w:r w:rsidRPr="00053673">
        <w:rPr>
          <w:rFonts w:ascii="Arial" w:hAnsi="Arial" w:cs="Arial"/>
          <w:b/>
          <w:bCs/>
          <w:sz w:val="22"/>
          <w:szCs w:val="22"/>
        </w:rPr>
        <w:t> </w:t>
      </w:r>
    </w:p>
    <w:p w:rsidR="00DF3AA7" w:rsidRPr="00053673" w:rsidRDefault="00DF3AA7" w:rsidP="00DF3AA7">
      <w:pPr>
        <w:tabs>
          <w:tab w:val="left" w:pos="360"/>
        </w:tabs>
        <w:jc w:val="both"/>
        <w:rPr>
          <w:rFonts w:ascii="Arial" w:hAnsi="Arial" w:cs="Arial"/>
          <w:b/>
          <w:bCs/>
          <w:sz w:val="22"/>
          <w:szCs w:val="22"/>
        </w:rPr>
      </w:pPr>
      <w:r w:rsidRPr="00053673">
        <w:rPr>
          <w:rFonts w:ascii="Arial" w:hAnsi="Arial" w:cs="Arial"/>
          <w:b/>
          <w:bCs/>
          <w:sz w:val="22"/>
          <w:szCs w:val="22"/>
        </w:rPr>
        <w:t>% AVANCE PLANES DE MEJORAMIENTO CONTRALORÍA</w:t>
      </w:r>
    </w:p>
    <w:p w:rsidR="00DF3AA7" w:rsidRPr="00053673" w:rsidRDefault="00DF3AA7" w:rsidP="00DF3AA7">
      <w:pPr>
        <w:tabs>
          <w:tab w:val="left" w:pos="360"/>
        </w:tabs>
        <w:jc w:val="both"/>
        <w:rPr>
          <w:rFonts w:ascii="Arial" w:hAnsi="Arial" w:cs="Arial"/>
          <w:b/>
          <w:bCs/>
          <w:sz w:val="22"/>
          <w:szCs w:val="22"/>
        </w:rPr>
      </w:pPr>
    </w:p>
    <w:p w:rsidR="00DF3AA7" w:rsidRDefault="00047DB8" w:rsidP="00DF3AA7">
      <w:pPr>
        <w:tabs>
          <w:tab w:val="left" w:pos="360"/>
        </w:tabs>
        <w:jc w:val="center"/>
        <w:rPr>
          <w:rFonts w:ascii="Arial" w:hAnsi="Arial" w:cs="Arial"/>
          <w:sz w:val="16"/>
          <w:szCs w:val="14"/>
        </w:rPr>
      </w:pPr>
      <w:r>
        <w:rPr>
          <w:noProof/>
        </w:rPr>
        <w:drawing>
          <wp:inline distT="0" distB="0" distL="0" distR="0">
            <wp:extent cx="3802452" cy="2528019"/>
            <wp:effectExtent l="19050" t="0" r="26598" b="24681"/>
            <wp:docPr id="4165358" name="Gráfico 4165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F3AA7" w:rsidRDefault="00DF3AA7" w:rsidP="00DF3AA7">
      <w:pPr>
        <w:tabs>
          <w:tab w:val="left" w:pos="360"/>
        </w:tabs>
        <w:jc w:val="center"/>
        <w:rPr>
          <w:rFonts w:ascii="Arial" w:hAnsi="Arial" w:cs="Arial"/>
          <w:sz w:val="16"/>
          <w:szCs w:val="14"/>
        </w:rPr>
      </w:pPr>
    </w:p>
    <w:p w:rsidR="00047DB8" w:rsidRPr="00053673" w:rsidRDefault="00047DB8" w:rsidP="00047DB8">
      <w:pPr>
        <w:tabs>
          <w:tab w:val="left" w:pos="360"/>
        </w:tabs>
        <w:jc w:val="both"/>
        <w:rPr>
          <w:rFonts w:ascii="Arial" w:hAnsi="Arial" w:cs="Arial"/>
          <w:sz w:val="22"/>
          <w:szCs w:val="22"/>
          <w:lang w:val="es-ES_tradnl"/>
        </w:rPr>
      </w:pPr>
      <w:r w:rsidRPr="00053673">
        <w:rPr>
          <w:rFonts w:ascii="Arial" w:hAnsi="Arial" w:cs="Arial"/>
          <w:sz w:val="22"/>
          <w:szCs w:val="22"/>
          <w:lang w:val="es-CO"/>
        </w:rPr>
        <w:t>Se hizo seguimiento al plan de mejoramiento de la Contraloría el cual quedo  protocolizado en Marzo presentando a final del trimestre un avance del 100.%.</w:t>
      </w:r>
    </w:p>
    <w:p w:rsidR="00DF3AA7" w:rsidRPr="00053673" w:rsidRDefault="00DF3AA7" w:rsidP="00DF3AA7">
      <w:pPr>
        <w:tabs>
          <w:tab w:val="left" w:pos="360"/>
        </w:tabs>
        <w:jc w:val="both"/>
        <w:rPr>
          <w:rFonts w:ascii="Arial" w:hAnsi="Arial" w:cs="Arial"/>
          <w:sz w:val="22"/>
          <w:szCs w:val="22"/>
        </w:rPr>
      </w:pPr>
    </w:p>
    <w:p w:rsidR="00DF3AA7" w:rsidRPr="00053673" w:rsidRDefault="00DF3AA7" w:rsidP="00DF3AA7">
      <w:pPr>
        <w:tabs>
          <w:tab w:val="left" w:pos="360"/>
        </w:tabs>
        <w:jc w:val="both"/>
        <w:rPr>
          <w:rFonts w:ascii="Arial" w:hAnsi="Arial" w:cs="Arial"/>
          <w:b/>
          <w:bCs/>
          <w:sz w:val="22"/>
          <w:szCs w:val="22"/>
        </w:rPr>
      </w:pPr>
      <w:r w:rsidRPr="00053673">
        <w:rPr>
          <w:rFonts w:ascii="Arial" w:hAnsi="Arial" w:cs="Arial"/>
          <w:b/>
          <w:bCs/>
          <w:sz w:val="22"/>
          <w:szCs w:val="22"/>
        </w:rPr>
        <w:t>% CUMPLIMIENTO PROG. AUDITORIAS Y EVALUACIONES DE CONTROL INTERNO.</w:t>
      </w:r>
    </w:p>
    <w:p w:rsidR="00DF3AA7" w:rsidRPr="00053673" w:rsidRDefault="00DF3AA7" w:rsidP="00DF3AA7">
      <w:pPr>
        <w:tabs>
          <w:tab w:val="left" w:pos="360"/>
        </w:tabs>
        <w:jc w:val="center"/>
        <w:rPr>
          <w:rFonts w:ascii="Arial" w:hAnsi="Arial" w:cs="Arial"/>
          <w:b/>
          <w:bCs/>
          <w:sz w:val="22"/>
          <w:szCs w:val="22"/>
        </w:rPr>
      </w:pPr>
    </w:p>
    <w:p w:rsidR="00DF3AA7" w:rsidRPr="00C22B40" w:rsidRDefault="00DF3AA7" w:rsidP="00DF3AA7">
      <w:pPr>
        <w:pStyle w:val="Ttulo5"/>
      </w:pPr>
    </w:p>
    <w:p w:rsidR="00DF3AA7" w:rsidRPr="00C22B40" w:rsidRDefault="00DF3AA7" w:rsidP="00DF3AA7">
      <w:pPr>
        <w:pStyle w:val="Ttulo5"/>
        <w:rPr>
          <w:b/>
        </w:rPr>
      </w:pPr>
    </w:p>
    <w:p w:rsidR="00047DB8" w:rsidRPr="006B43E1" w:rsidRDefault="00047DB8" w:rsidP="00047DB8">
      <w:pPr>
        <w:pStyle w:val="Ttulo5"/>
        <w:rPr>
          <w:rFonts w:ascii="Arial" w:hAnsi="Arial" w:cs="Arial"/>
          <w:sz w:val="22"/>
          <w:szCs w:val="22"/>
          <w:lang w:val="es-ES_tradnl"/>
        </w:rPr>
      </w:pPr>
      <w:r w:rsidRPr="006B43E1">
        <w:rPr>
          <w:rFonts w:ascii="Arial" w:hAnsi="Arial" w:cs="Arial"/>
          <w:b/>
          <w:bCs/>
          <w:sz w:val="22"/>
          <w:szCs w:val="22"/>
          <w:lang w:val="es-CO"/>
        </w:rPr>
        <w:t xml:space="preserve">% CUMPLIMIENTO PROG AUDITORIAS Y EVALUACIONES DE CONTROL INTERNO. </w:t>
      </w:r>
    </w:p>
    <w:p w:rsidR="00047DB8" w:rsidRDefault="00047DB8" w:rsidP="00047DB8">
      <w:pPr>
        <w:pStyle w:val="Ttulo5"/>
        <w:rPr>
          <w:lang w:val="es-CO"/>
        </w:rPr>
      </w:pPr>
      <w:r>
        <w:rPr>
          <w:noProof/>
        </w:rPr>
        <w:drawing>
          <wp:inline distT="0" distB="0" distL="0" distR="0">
            <wp:extent cx="4658264" cy="2769559"/>
            <wp:effectExtent l="19050" t="0" r="28036" b="11741"/>
            <wp:docPr id="4165360" name="Gráfico 4165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47DB8" w:rsidRPr="006B43E1" w:rsidRDefault="00047DB8" w:rsidP="00047DB8">
      <w:pPr>
        <w:pStyle w:val="Ttulo5"/>
        <w:rPr>
          <w:rFonts w:ascii="Arial" w:hAnsi="Arial" w:cs="Arial"/>
          <w:sz w:val="22"/>
          <w:szCs w:val="22"/>
          <w:lang w:val="es-CO"/>
        </w:rPr>
      </w:pPr>
      <w:r w:rsidRPr="006B43E1">
        <w:rPr>
          <w:rFonts w:ascii="Arial" w:hAnsi="Arial" w:cs="Arial"/>
          <w:sz w:val="22"/>
          <w:szCs w:val="22"/>
          <w:lang w:val="es-CO"/>
        </w:rPr>
        <w:t xml:space="preserve">Dentro del programa de auditorías se tenía programado atender  cuatro procesos con auditorias aleatorias  y se cumplió al 100% </w:t>
      </w:r>
    </w:p>
    <w:p w:rsidR="00DF3AA7" w:rsidRPr="006B43E1" w:rsidRDefault="00DF3AA7" w:rsidP="00DF3AA7">
      <w:pPr>
        <w:pStyle w:val="Ttulo5"/>
        <w:rPr>
          <w:rFonts w:ascii="Arial" w:hAnsi="Arial" w:cs="Arial"/>
          <w:sz w:val="22"/>
          <w:szCs w:val="22"/>
        </w:rPr>
      </w:pPr>
    </w:p>
    <w:p w:rsidR="00DF3AA7" w:rsidRPr="006B43E1" w:rsidRDefault="00DF3AA7" w:rsidP="00DF3AA7">
      <w:pPr>
        <w:tabs>
          <w:tab w:val="left" w:pos="360"/>
        </w:tabs>
        <w:jc w:val="both"/>
        <w:rPr>
          <w:rFonts w:ascii="Arial" w:hAnsi="Arial" w:cs="Arial"/>
          <w:b/>
          <w:bCs/>
          <w:color w:val="008000"/>
          <w:sz w:val="22"/>
          <w:szCs w:val="22"/>
        </w:rPr>
      </w:pPr>
      <w:r w:rsidRPr="006B43E1">
        <w:rPr>
          <w:rFonts w:ascii="Arial" w:hAnsi="Arial" w:cs="Arial"/>
          <w:b/>
          <w:bCs/>
          <w:color w:val="008000"/>
          <w:sz w:val="22"/>
          <w:szCs w:val="22"/>
        </w:rPr>
        <w:t>4.12  PLANEACION, MEJORAMIENTO Y ADMINISTRACIÓN DEL S.G.C.</w:t>
      </w:r>
    </w:p>
    <w:p w:rsidR="00DF3AA7" w:rsidRPr="006B43E1" w:rsidRDefault="00DF3AA7" w:rsidP="00DF3AA7">
      <w:pPr>
        <w:tabs>
          <w:tab w:val="left" w:pos="360"/>
        </w:tabs>
        <w:jc w:val="both"/>
        <w:rPr>
          <w:rFonts w:ascii="Arial" w:hAnsi="Arial" w:cs="Arial"/>
          <w:b/>
          <w:bCs/>
          <w:sz w:val="22"/>
          <w:szCs w:val="22"/>
        </w:rPr>
      </w:pPr>
    </w:p>
    <w:p w:rsidR="00DF3AA7" w:rsidRPr="006B43E1" w:rsidRDefault="00DF3AA7" w:rsidP="00DF3AA7">
      <w:pPr>
        <w:tabs>
          <w:tab w:val="left" w:pos="360"/>
        </w:tabs>
        <w:jc w:val="both"/>
        <w:rPr>
          <w:rFonts w:ascii="Arial" w:hAnsi="Arial" w:cs="Arial"/>
          <w:b/>
          <w:bCs/>
          <w:sz w:val="22"/>
          <w:szCs w:val="22"/>
        </w:rPr>
      </w:pPr>
      <w:r w:rsidRPr="006B43E1">
        <w:rPr>
          <w:rFonts w:ascii="Arial" w:hAnsi="Arial" w:cs="Arial"/>
          <w:sz w:val="22"/>
          <w:szCs w:val="22"/>
        </w:rPr>
        <w:t>La Dra. Cecilia Virviescas, entrego informe de Auto evaluación de la Gestión y  expuso el resultado de los indicadores así:</w:t>
      </w:r>
    </w:p>
    <w:p w:rsidR="00DF3AA7" w:rsidRPr="006B43E1" w:rsidRDefault="00DF3AA7" w:rsidP="00DF3AA7">
      <w:pPr>
        <w:tabs>
          <w:tab w:val="left" w:pos="360"/>
        </w:tabs>
        <w:jc w:val="both"/>
        <w:rPr>
          <w:rFonts w:ascii="Arial" w:hAnsi="Arial" w:cs="Arial"/>
          <w:b/>
          <w:bCs/>
          <w:sz w:val="22"/>
          <w:szCs w:val="22"/>
        </w:rPr>
      </w:pPr>
    </w:p>
    <w:p w:rsidR="00DF3AA7" w:rsidRPr="006B43E1" w:rsidRDefault="00DF3AA7" w:rsidP="00DF3AA7">
      <w:pPr>
        <w:tabs>
          <w:tab w:val="left" w:pos="360"/>
        </w:tabs>
        <w:jc w:val="both"/>
        <w:rPr>
          <w:rFonts w:ascii="Arial" w:hAnsi="Arial" w:cs="Arial"/>
          <w:b/>
          <w:bCs/>
          <w:sz w:val="22"/>
          <w:szCs w:val="22"/>
        </w:rPr>
      </w:pPr>
    </w:p>
    <w:p w:rsidR="00DF3AA7" w:rsidRPr="006B43E1" w:rsidRDefault="00DF3AA7" w:rsidP="00DF3AA7">
      <w:pPr>
        <w:tabs>
          <w:tab w:val="left" w:pos="360"/>
        </w:tabs>
        <w:jc w:val="both"/>
        <w:rPr>
          <w:rFonts w:ascii="Arial" w:hAnsi="Arial" w:cs="Arial"/>
          <w:b/>
          <w:bCs/>
          <w:sz w:val="22"/>
          <w:szCs w:val="22"/>
        </w:rPr>
      </w:pPr>
      <w:r w:rsidRPr="006B43E1">
        <w:rPr>
          <w:rFonts w:ascii="Arial" w:hAnsi="Arial" w:cs="Arial"/>
          <w:b/>
          <w:bCs/>
          <w:sz w:val="22"/>
          <w:szCs w:val="22"/>
        </w:rPr>
        <w:t>% CUMPLIMIENTO DEL PROGRAMA DE AUDITORIAS</w:t>
      </w:r>
    </w:p>
    <w:p w:rsidR="00DF3AA7" w:rsidRPr="006B43E1" w:rsidRDefault="00DF3AA7" w:rsidP="00DF3AA7">
      <w:pPr>
        <w:tabs>
          <w:tab w:val="left" w:pos="360"/>
        </w:tabs>
        <w:jc w:val="both"/>
        <w:rPr>
          <w:rFonts w:ascii="Arial" w:hAnsi="Arial" w:cs="Arial"/>
          <w:b/>
          <w:bCs/>
          <w:sz w:val="22"/>
          <w:szCs w:val="22"/>
        </w:rPr>
      </w:pPr>
    </w:p>
    <w:p w:rsidR="00DF3AA7" w:rsidRPr="00641E40" w:rsidRDefault="00221369" w:rsidP="00DF3AA7">
      <w:pPr>
        <w:tabs>
          <w:tab w:val="left" w:pos="360"/>
        </w:tabs>
        <w:jc w:val="center"/>
        <w:rPr>
          <w:rFonts w:ascii="Arial" w:hAnsi="Arial" w:cs="Arial"/>
          <w:b/>
          <w:bCs/>
          <w:sz w:val="16"/>
          <w:szCs w:val="14"/>
        </w:rPr>
      </w:pPr>
      <w:r>
        <w:rPr>
          <w:noProof/>
        </w:rPr>
        <w:drawing>
          <wp:inline distT="0" distB="0" distL="0" distR="0">
            <wp:extent cx="4711700" cy="2942166"/>
            <wp:effectExtent l="19050" t="0" r="12700" b="10584"/>
            <wp:docPr id="4165362" name="Gráfico 4165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F3AA7" w:rsidRPr="00641E40" w:rsidRDefault="00DF3AA7" w:rsidP="00DF3AA7">
      <w:pPr>
        <w:tabs>
          <w:tab w:val="left" w:pos="360"/>
        </w:tabs>
        <w:jc w:val="center"/>
        <w:rPr>
          <w:rFonts w:ascii="Arial" w:hAnsi="Arial" w:cs="Arial"/>
          <w:b/>
          <w:bCs/>
          <w:sz w:val="16"/>
          <w:szCs w:val="14"/>
          <w:highlight w:val="yellow"/>
        </w:rPr>
      </w:pPr>
    </w:p>
    <w:p w:rsidR="00DF3AA7" w:rsidRPr="006B43E1" w:rsidRDefault="00DF3AA7" w:rsidP="00DF3AA7">
      <w:pPr>
        <w:tabs>
          <w:tab w:val="left" w:pos="360"/>
        </w:tabs>
        <w:jc w:val="both"/>
        <w:rPr>
          <w:rFonts w:ascii="Arial" w:hAnsi="Arial" w:cs="Arial"/>
          <w:b/>
          <w:bCs/>
          <w:sz w:val="22"/>
          <w:szCs w:val="14"/>
          <w:highlight w:val="yellow"/>
        </w:rPr>
      </w:pPr>
    </w:p>
    <w:p w:rsidR="00DF3AA7" w:rsidRPr="006B43E1" w:rsidRDefault="00DF3AA7" w:rsidP="00DF3AA7">
      <w:pPr>
        <w:tabs>
          <w:tab w:val="left" w:pos="360"/>
        </w:tabs>
        <w:jc w:val="both"/>
        <w:rPr>
          <w:rFonts w:ascii="Arial" w:hAnsi="Arial" w:cs="Arial"/>
          <w:bCs/>
          <w:sz w:val="22"/>
          <w:szCs w:val="14"/>
          <w:lang w:val="es-CO"/>
        </w:rPr>
      </w:pPr>
      <w:r w:rsidRPr="006B43E1">
        <w:rPr>
          <w:rFonts w:ascii="Arial" w:hAnsi="Arial" w:cs="Arial"/>
          <w:bCs/>
          <w:sz w:val="22"/>
          <w:szCs w:val="14"/>
          <w:lang w:val="es-CO"/>
        </w:rPr>
        <w:t xml:space="preserve">Para </w:t>
      </w:r>
      <w:r w:rsidR="00221369" w:rsidRPr="006B43E1">
        <w:rPr>
          <w:rFonts w:ascii="Arial" w:hAnsi="Arial" w:cs="Arial"/>
          <w:bCs/>
          <w:sz w:val="22"/>
          <w:szCs w:val="14"/>
          <w:lang w:val="es-CO"/>
        </w:rPr>
        <w:t>el segundo semestre del año 2014</w:t>
      </w:r>
      <w:r w:rsidRPr="006B43E1">
        <w:rPr>
          <w:rFonts w:ascii="Arial" w:hAnsi="Arial" w:cs="Arial"/>
          <w:bCs/>
          <w:sz w:val="22"/>
          <w:szCs w:val="14"/>
          <w:lang w:val="es-CO"/>
        </w:rPr>
        <w:t xml:space="preserve"> se realizaron auditorias por parte de Control Interno y Calidad, cumpliendo con el 100% de la programación.</w:t>
      </w:r>
    </w:p>
    <w:p w:rsidR="00DF3AA7" w:rsidRPr="006B43E1" w:rsidRDefault="00DF3AA7" w:rsidP="00DF3AA7">
      <w:pPr>
        <w:tabs>
          <w:tab w:val="left" w:pos="360"/>
        </w:tabs>
        <w:jc w:val="both"/>
        <w:rPr>
          <w:rFonts w:ascii="Arial" w:hAnsi="Arial" w:cs="Arial"/>
          <w:b/>
          <w:bCs/>
          <w:sz w:val="22"/>
          <w:szCs w:val="14"/>
          <w:highlight w:val="yellow"/>
        </w:rPr>
      </w:pPr>
      <w:r w:rsidRPr="006B43E1">
        <w:rPr>
          <w:rFonts w:ascii="Arial" w:hAnsi="Arial" w:cs="Arial"/>
          <w:b/>
          <w:bCs/>
          <w:sz w:val="22"/>
          <w:szCs w:val="14"/>
          <w:highlight w:val="yellow"/>
        </w:rPr>
        <w:t xml:space="preserve"> </w:t>
      </w:r>
    </w:p>
    <w:p w:rsidR="00DF3AA7" w:rsidRPr="006B43E1" w:rsidRDefault="00DF3AA7" w:rsidP="00DF3AA7">
      <w:pPr>
        <w:tabs>
          <w:tab w:val="left" w:pos="360"/>
        </w:tabs>
        <w:jc w:val="both"/>
        <w:rPr>
          <w:rFonts w:ascii="Arial" w:hAnsi="Arial" w:cs="Arial"/>
          <w:b/>
          <w:bCs/>
          <w:sz w:val="22"/>
          <w:szCs w:val="14"/>
        </w:rPr>
      </w:pPr>
      <w:r w:rsidRPr="006B43E1">
        <w:rPr>
          <w:rFonts w:ascii="Arial" w:hAnsi="Arial" w:cs="Arial"/>
          <w:b/>
          <w:bCs/>
          <w:sz w:val="22"/>
          <w:szCs w:val="14"/>
        </w:rPr>
        <w:t>NO CONFORMIDADES. .AUDITORIAS.</w:t>
      </w:r>
    </w:p>
    <w:p w:rsidR="00DF3AA7" w:rsidRPr="006B43E1" w:rsidRDefault="00DF3AA7" w:rsidP="00DF3AA7">
      <w:pPr>
        <w:tabs>
          <w:tab w:val="left" w:pos="360"/>
        </w:tabs>
        <w:jc w:val="center"/>
        <w:rPr>
          <w:rFonts w:ascii="Arial" w:hAnsi="Arial" w:cs="Arial"/>
          <w:b/>
          <w:bCs/>
          <w:sz w:val="22"/>
          <w:szCs w:val="14"/>
        </w:rPr>
      </w:pPr>
    </w:p>
    <w:p w:rsidR="00DF3AA7" w:rsidRPr="006B43E1" w:rsidRDefault="00DF3AA7" w:rsidP="00DF3AA7">
      <w:pPr>
        <w:tabs>
          <w:tab w:val="left" w:pos="360"/>
        </w:tabs>
        <w:jc w:val="both"/>
        <w:rPr>
          <w:rFonts w:ascii="Arial" w:hAnsi="Arial" w:cs="Arial"/>
          <w:sz w:val="22"/>
          <w:szCs w:val="14"/>
          <w:lang w:val="es-CO"/>
        </w:rPr>
      </w:pPr>
      <w:r w:rsidRPr="006B43E1">
        <w:rPr>
          <w:rFonts w:ascii="Arial" w:hAnsi="Arial" w:cs="Arial"/>
          <w:sz w:val="22"/>
          <w:szCs w:val="14"/>
        </w:rPr>
        <w:t xml:space="preserve">No se tienen no conformidades de las </w:t>
      </w:r>
      <w:r w:rsidR="006B43E1" w:rsidRPr="006B43E1">
        <w:rPr>
          <w:rFonts w:ascii="Arial" w:hAnsi="Arial" w:cs="Arial"/>
          <w:sz w:val="22"/>
          <w:szCs w:val="14"/>
        </w:rPr>
        <w:t>auditorías</w:t>
      </w:r>
      <w:r w:rsidRPr="006B43E1">
        <w:rPr>
          <w:rFonts w:ascii="Arial" w:hAnsi="Arial" w:cs="Arial"/>
          <w:sz w:val="22"/>
          <w:szCs w:val="14"/>
        </w:rPr>
        <w:t xml:space="preserve"> internas.</w:t>
      </w:r>
    </w:p>
    <w:p w:rsidR="00DF3AA7" w:rsidRPr="00641E40" w:rsidRDefault="00DF3AA7" w:rsidP="00DF3AA7">
      <w:pPr>
        <w:tabs>
          <w:tab w:val="left" w:pos="360"/>
        </w:tabs>
        <w:jc w:val="both"/>
        <w:rPr>
          <w:rFonts w:ascii="Arial" w:hAnsi="Arial" w:cs="Arial"/>
          <w:b/>
          <w:bCs/>
          <w:sz w:val="16"/>
          <w:szCs w:val="14"/>
          <w:highlight w:val="yellow"/>
        </w:rPr>
      </w:pPr>
    </w:p>
    <w:p w:rsidR="00DF3AA7" w:rsidRDefault="00221369" w:rsidP="00DF3AA7">
      <w:pPr>
        <w:tabs>
          <w:tab w:val="left" w:pos="360"/>
        </w:tabs>
        <w:jc w:val="both"/>
        <w:rPr>
          <w:rFonts w:ascii="Arial" w:hAnsi="Arial" w:cs="Arial"/>
          <w:b/>
          <w:bCs/>
          <w:sz w:val="16"/>
          <w:szCs w:val="14"/>
          <w:highlight w:val="yellow"/>
        </w:rPr>
      </w:pPr>
      <w:r>
        <w:rPr>
          <w:noProof/>
        </w:rPr>
        <w:drawing>
          <wp:inline distT="0" distB="0" distL="0" distR="0">
            <wp:extent cx="4699000" cy="2942166"/>
            <wp:effectExtent l="19050" t="0" r="25400" b="10584"/>
            <wp:docPr id="4165364" name="Gráfico 4165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21369" w:rsidRPr="00641E40" w:rsidRDefault="00221369" w:rsidP="00DF3AA7">
      <w:pPr>
        <w:tabs>
          <w:tab w:val="left" w:pos="360"/>
        </w:tabs>
        <w:jc w:val="both"/>
        <w:rPr>
          <w:rFonts w:ascii="Arial" w:hAnsi="Arial" w:cs="Arial"/>
          <w:b/>
          <w:bCs/>
          <w:sz w:val="16"/>
          <w:szCs w:val="14"/>
          <w:highlight w:val="yellow"/>
        </w:rPr>
      </w:pPr>
    </w:p>
    <w:p w:rsidR="00DF3AA7" w:rsidRPr="006B43E1" w:rsidRDefault="00DF3AA7" w:rsidP="00DF3AA7">
      <w:pPr>
        <w:tabs>
          <w:tab w:val="left" w:pos="360"/>
        </w:tabs>
        <w:jc w:val="both"/>
        <w:rPr>
          <w:rFonts w:ascii="Arial" w:hAnsi="Arial" w:cs="Arial"/>
          <w:b/>
          <w:bCs/>
          <w:sz w:val="22"/>
          <w:szCs w:val="14"/>
        </w:rPr>
      </w:pPr>
      <w:r w:rsidRPr="006B43E1">
        <w:rPr>
          <w:rFonts w:ascii="Arial" w:hAnsi="Arial" w:cs="Arial"/>
          <w:b/>
          <w:bCs/>
          <w:sz w:val="22"/>
          <w:szCs w:val="14"/>
        </w:rPr>
        <w:t>PRODUCTO NO CONFORME/ QUEJAS O RECLAMOS</w:t>
      </w:r>
    </w:p>
    <w:p w:rsidR="00DF3AA7" w:rsidRPr="00D16021" w:rsidRDefault="00DF3AA7" w:rsidP="00DF3AA7">
      <w:pPr>
        <w:tabs>
          <w:tab w:val="left" w:pos="360"/>
        </w:tabs>
        <w:jc w:val="both"/>
        <w:rPr>
          <w:rFonts w:ascii="Arial" w:hAnsi="Arial" w:cs="Arial"/>
          <w:b/>
          <w:bCs/>
          <w:sz w:val="16"/>
          <w:szCs w:val="14"/>
        </w:rPr>
      </w:pPr>
    </w:p>
    <w:p w:rsidR="00DF3AA7" w:rsidRPr="00D16021" w:rsidRDefault="00221369" w:rsidP="00DF3AA7">
      <w:pPr>
        <w:tabs>
          <w:tab w:val="left" w:pos="360"/>
        </w:tabs>
        <w:rPr>
          <w:rFonts w:ascii="Arial" w:hAnsi="Arial" w:cs="Arial"/>
          <w:b/>
          <w:bCs/>
          <w:sz w:val="16"/>
          <w:szCs w:val="14"/>
        </w:rPr>
      </w:pPr>
      <w:r>
        <w:rPr>
          <w:noProof/>
        </w:rPr>
        <w:drawing>
          <wp:inline distT="0" distB="0" distL="0" distR="0">
            <wp:extent cx="4660900" cy="2980266"/>
            <wp:effectExtent l="19050" t="0" r="25400" b="10584"/>
            <wp:docPr id="4165366" name="Gráfico 4165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F3AA7" w:rsidRPr="00641E40" w:rsidRDefault="00DF3AA7" w:rsidP="00DF3AA7">
      <w:pPr>
        <w:tabs>
          <w:tab w:val="left" w:pos="360"/>
        </w:tabs>
        <w:jc w:val="both"/>
        <w:rPr>
          <w:rFonts w:ascii="Arial" w:hAnsi="Arial" w:cs="Arial"/>
          <w:b/>
          <w:bCs/>
          <w:sz w:val="16"/>
          <w:szCs w:val="14"/>
          <w:highlight w:val="yellow"/>
        </w:rPr>
      </w:pPr>
    </w:p>
    <w:p w:rsidR="00DF3AA7" w:rsidRPr="006B43E1" w:rsidRDefault="00DF3AA7" w:rsidP="00DF3AA7">
      <w:pPr>
        <w:tabs>
          <w:tab w:val="left" w:pos="360"/>
        </w:tabs>
        <w:jc w:val="both"/>
        <w:rPr>
          <w:rFonts w:ascii="Arial" w:hAnsi="Arial" w:cs="Arial"/>
          <w:bCs/>
          <w:sz w:val="22"/>
          <w:szCs w:val="14"/>
        </w:rPr>
      </w:pPr>
      <w:r w:rsidRPr="006B43E1">
        <w:rPr>
          <w:rFonts w:ascii="Arial" w:hAnsi="Arial" w:cs="Arial"/>
          <w:bCs/>
          <w:sz w:val="22"/>
          <w:szCs w:val="14"/>
        </w:rPr>
        <w:t>No se encontraron ni quejas ni reclamos, además no se encontró producto no conforme.</w:t>
      </w:r>
    </w:p>
    <w:p w:rsidR="00DF3AA7" w:rsidRPr="006B43E1" w:rsidRDefault="00DF3AA7" w:rsidP="00DF3AA7">
      <w:pPr>
        <w:tabs>
          <w:tab w:val="left" w:pos="360"/>
        </w:tabs>
        <w:jc w:val="both"/>
        <w:rPr>
          <w:rFonts w:ascii="Arial" w:hAnsi="Arial" w:cs="Arial"/>
          <w:bCs/>
          <w:sz w:val="22"/>
          <w:szCs w:val="14"/>
        </w:rPr>
      </w:pPr>
    </w:p>
    <w:p w:rsidR="00DF3AA7" w:rsidRPr="006B43E1" w:rsidRDefault="00DF3AA7" w:rsidP="00DF3AA7">
      <w:pPr>
        <w:tabs>
          <w:tab w:val="left" w:pos="360"/>
        </w:tabs>
        <w:jc w:val="both"/>
        <w:rPr>
          <w:rFonts w:ascii="Arial" w:hAnsi="Arial" w:cs="Arial"/>
          <w:b/>
          <w:bCs/>
          <w:sz w:val="22"/>
          <w:szCs w:val="14"/>
        </w:rPr>
      </w:pPr>
      <w:r w:rsidRPr="006B43E1">
        <w:rPr>
          <w:rFonts w:ascii="Arial" w:hAnsi="Arial" w:cs="Arial"/>
          <w:b/>
          <w:bCs/>
          <w:sz w:val="22"/>
          <w:szCs w:val="14"/>
        </w:rPr>
        <w:t>MANTENIMIENTO GP-1000 Y MANTENIMIENTO DE ISO-9001</w:t>
      </w:r>
    </w:p>
    <w:p w:rsidR="00DF3AA7" w:rsidRPr="006B43E1" w:rsidRDefault="00DF3AA7" w:rsidP="00DF3AA7">
      <w:pPr>
        <w:tabs>
          <w:tab w:val="left" w:pos="360"/>
        </w:tabs>
        <w:jc w:val="both"/>
        <w:rPr>
          <w:rFonts w:ascii="Arial" w:hAnsi="Arial" w:cs="Arial"/>
          <w:b/>
          <w:bCs/>
          <w:sz w:val="22"/>
          <w:szCs w:val="14"/>
        </w:rPr>
      </w:pPr>
    </w:p>
    <w:p w:rsidR="00DF3AA7" w:rsidRPr="0060271D" w:rsidRDefault="00221369" w:rsidP="00221369">
      <w:pPr>
        <w:tabs>
          <w:tab w:val="left" w:pos="360"/>
        </w:tabs>
        <w:rPr>
          <w:rFonts w:ascii="Arial" w:hAnsi="Arial" w:cs="Arial"/>
          <w:b/>
          <w:bCs/>
          <w:sz w:val="16"/>
          <w:szCs w:val="14"/>
        </w:rPr>
      </w:pPr>
      <w:r>
        <w:rPr>
          <w:noProof/>
        </w:rPr>
        <w:drawing>
          <wp:inline distT="0" distB="0" distL="0" distR="0">
            <wp:extent cx="4648200" cy="2980267"/>
            <wp:effectExtent l="19050" t="0" r="19050" b="10583"/>
            <wp:docPr id="4165368" name="Gráfico 4165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F3AA7" w:rsidRPr="00D07DD2" w:rsidRDefault="00DF3AA7" w:rsidP="00DF3AA7">
      <w:pPr>
        <w:tabs>
          <w:tab w:val="left" w:pos="360"/>
        </w:tabs>
        <w:jc w:val="center"/>
        <w:rPr>
          <w:rFonts w:ascii="Arial" w:hAnsi="Arial" w:cs="Arial"/>
          <w:b/>
          <w:bCs/>
          <w:sz w:val="16"/>
          <w:szCs w:val="14"/>
        </w:rPr>
      </w:pPr>
    </w:p>
    <w:p w:rsidR="00DF3AA7" w:rsidRPr="00C014F2" w:rsidRDefault="00DF3AA7" w:rsidP="00DF3AA7">
      <w:pPr>
        <w:tabs>
          <w:tab w:val="left" w:pos="360"/>
        </w:tabs>
        <w:jc w:val="both"/>
        <w:rPr>
          <w:rFonts w:ascii="Arial" w:hAnsi="Arial" w:cs="Arial"/>
          <w:bCs/>
          <w:sz w:val="22"/>
          <w:szCs w:val="22"/>
        </w:rPr>
      </w:pPr>
      <w:r w:rsidRPr="00C014F2">
        <w:rPr>
          <w:rFonts w:ascii="Arial" w:hAnsi="Arial" w:cs="Arial"/>
          <w:bCs/>
          <w:sz w:val="22"/>
          <w:szCs w:val="22"/>
        </w:rPr>
        <w:t>Se han ejecutado al 100% las actividades planteadas en el plan de mantenimiento y mejora ya que el cronograma lo indicaba así.</w:t>
      </w:r>
    </w:p>
    <w:p w:rsidR="00DF3AA7" w:rsidRPr="00C014F2" w:rsidRDefault="00DF3AA7" w:rsidP="00DF3AA7">
      <w:pPr>
        <w:tabs>
          <w:tab w:val="left" w:pos="360"/>
        </w:tabs>
        <w:jc w:val="both"/>
        <w:rPr>
          <w:rFonts w:ascii="Arial" w:hAnsi="Arial" w:cs="Arial"/>
          <w:bCs/>
          <w:sz w:val="22"/>
          <w:szCs w:val="22"/>
        </w:rPr>
      </w:pPr>
    </w:p>
    <w:p w:rsidR="00DF3AA7" w:rsidRPr="00C014F2" w:rsidRDefault="00DF3AA7" w:rsidP="00DF3AA7">
      <w:pPr>
        <w:tabs>
          <w:tab w:val="left" w:pos="360"/>
        </w:tabs>
        <w:jc w:val="both"/>
        <w:rPr>
          <w:rFonts w:ascii="Arial" w:hAnsi="Arial" w:cs="Arial"/>
          <w:b/>
          <w:bCs/>
          <w:sz w:val="22"/>
          <w:szCs w:val="22"/>
        </w:rPr>
      </w:pPr>
      <w:r w:rsidRPr="00C014F2">
        <w:rPr>
          <w:rFonts w:ascii="Arial" w:hAnsi="Arial" w:cs="Arial"/>
          <w:b/>
          <w:bCs/>
          <w:sz w:val="22"/>
          <w:szCs w:val="22"/>
        </w:rPr>
        <w:t>MEJORA DE LOS RIESGOS</w:t>
      </w:r>
    </w:p>
    <w:p w:rsidR="00DF3AA7" w:rsidRPr="00D07DD2" w:rsidRDefault="00DF3AA7" w:rsidP="00DF3AA7">
      <w:pPr>
        <w:tabs>
          <w:tab w:val="left" w:pos="360"/>
        </w:tabs>
        <w:jc w:val="both"/>
        <w:rPr>
          <w:rFonts w:ascii="Arial" w:hAnsi="Arial" w:cs="Arial"/>
          <w:b/>
          <w:bCs/>
          <w:sz w:val="16"/>
          <w:szCs w:val="14"/>
        </w:rPr>
      </w:pPr>
    </w:p>
    <w:p w:rsidR="00DF3AA7" w:rsidRPr="00D07DD2" w:rsidRDefault="00DF3AA7" w:rsidP="00DF3AA7">
      <w:pPr>
        <w:tabs>
          <w:tab w:val="left" w:pos="360"/>
        </w:tabs>
        <w:jc w:val="center"/>
        <w:rPr>
          <w:rFonts w:ascii="Arial" w:hAnsi="Arial" w:cs="Arial"/>
          <w:b/>
          <w:bCs/>
          <w:sz w:val="16"/>
          <w:szCs w:val="14"/>
        </w:rPr>
      </w:pPr>
    </w:p>
    <w:p w:rsidR="00DF3AA7" w:rsidRPr="00D07DD2" w:rsidRDefault="00221369" w:rsidP="00DF3AA7">
      <w:pPr>
        <w:tabs>
          <w:tab w:val="left" w:pos="360"/>
        </w:tabs>
        <w:jc w:val="both"/>
        <w:rPr>
          <w:rFonts w:ascii="Arial" w:hAnsi="Arial" w:cs="Arial"/>
          <w:b/>
          <w:bCs/>
          <w:sz w:val="16"/>
          <w:szCs w:val="14"/>
        </w:rPr>
      </w:pPr>
      <w:r>
        <w:rPr>
          <w:noProof/>
        </w:rPr>
        <w:drawing>
          <wp:inline distT="0" distB="0" distL="0" distR="0">
            <wp:extent cx="4648200" cy="2980267"/>
            <wp:effectExtent l="19050" t="0" r="19050" b="10583"/>
            <wp:docPr id="4165369" name="Gráfico 4165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014F2" w:rsidRDefault="00C014F2" w:rsidP="00DF3AA7">
      <w:pPr>
        <w:tabs>
          <w:tab w:val="left" w:pos="360"/>
        </w:tabs>
        <w:jc w:val="both"/>
        <w:rPr>
          <w:rFonts w:ascii="Arial" w:hAnsi="Arial" w:cs="Arial"/>
          <w:bCs/>
          <w:sz w:val="16"/>
          <w:szCs w:val="14"/>
          <w:lang w:val="es-CO"/>
        </w:rPr>
      </w:pPr>
    </w:p>
    <w:p w:rsidR="00DF3AA7" w:rsidRPr="00C014F2" w:rsidRDefault="00DF3AA7" w:rsidP="00DF3AA7">
      <w:pPr>
        <w:tabs>
          <w:tab w:val="left" w:pos="360"/>
        </w:tabs>
        <w:jc w:val="both"/>
        <w:rPr>
          <w:rFonts w:ascii="Arial" w:hAnsi="Arial" w:cs="Arial"/>
          <w:b/>
          <w:bCs/>
          <w:sz w:val="22"/>
          <w:szCs w:val="22"/>
        </w:rPr>
      </w:pPr>
      <w:r w:rsidRPr="00C014F2">
        <w:rPr>
          <w:rFonts w:ascii="Arial" w:hAnsi="Arial" w:cs="Arial"/>
          <w:bCs/>
          <w:sz w:val="22"/>
          <w:szCs w:val="22"/>
          <w:lang w:val="es-CO"/>
        </w:rPr>
        <w:t>Durante el  201</w:t>
      </w:r>
      <w:r w:rsidR="00221369" w:rsidRPr="00C014F2">
        <w:rPr>
          <w:rFonts w:ascii="Arial" w:hAnsi="Arial" w:cs="Arial"/>
          <w:bCs/>
          <w:sz w:val="22"/>
          <w:szCs w:val="22"/>
          <w:lang w:val="es-CO"/>
        </w:rPr>
        <w:t>4</w:t>
      </w:r>
      <w:r w:rsidRPr="00C014F2">
        <w:rPr>
          <w:rFonts w:ascii="Arial" w:hAnsi="Arial" w:cs="Arial"/>
          <w:bCs/>
          <w:sz w:val="22"/>
          <w:szCs w:val="22"/>
          <w:lang w:val="es-CO"/>
        </w:rPr>
        <w:t xml:space="preserve"> se mantienen las mejoras correspondientes a la administración de los riesgos del instituto, Se realizo seguimiento al mapa de riesgos y sus correspondientes acciones preventivas, se realizara  VALORACION GENERAL de los riegos de acuerdo a nuevos controles definidos y/o implementados en las acciones preventivas realizadas durante el Segundo Semestre de 201</w:t>
      </w:r>
      <w:r w:rsidR="00221369" w:rsidRPr="00C014F2">
        <w:rPr>
          <w:rFonts w:ascii="Arial" w:hAnsi="Arial" w:cs="Arial"/>
          <w:bCs/>
          <w:sz w:val="22"/>
          <w:szCs w:val="22"/>
          <w:lang w:val="es-CO"/>
        </w:rPr>
        <w:t>4</w:t>
      </w:r>
    </w:p>
    <w:p w:rsidR="00DF3AA7" w:rsidRPr="00C014F2" w:rsidRDefault="00DF3AA7" w:rsidP="00DF3AA7">
      <w:pPr>
        <w:tabs>
          <w:tab w:val="left" w:pos="360"/>
        </w:tabs>
        <w:jc w:val="both"/>
        <w:rPr>
          <w:rFonts w:ascii="Arial" w:hAnsi="Arial" w:cs="Arial"/>
          <w:b/>
          <w:bCs/>
          <w:sz w:val="22"/>
          <w:szCs w:val="22"/>
        </w:rPr>
      </w:pPr>
    </w:p>
    <w:p w:rsidR="00DF3AA7" w:rsidRPr="00C014F2" w:rsidRDefault="00DF3AA7" w:rsidP="00DF3AA7">
      <w:pPr>
        <w:tabs>
          <w:tab w:val="left" w:pos="360"/>
        </w:tabs>
        <w:jc w:val="both"/>
        <w:rPr>
          <w:rFonts w:ascii="Arial" w:hAnsi="Arial" w:cs="Arial"/>
          <w:bCs/>
          <w:sz w:val="22"/>
          <w:szCs w:val="22"/>
        </w:rPr>
      </w:pPr>
      <w:r w:rsidRPr="00C014F2">
        <w:rPr>
          <w:rFonts w:ascii="Arial" w:hAnsi="Arial" w:cs="Arial"/>
          <w:b/>
          <w:sz w:val="22"/>
          <w:szCs w:val="22"/>
        </w:rPr>
        <w:t>%CUMPLIMIENTO DE LA AUTO EVALUACIÓN DE LA GESTIÓN</w:t>
      </w:r>
      <w:r w:rsidRPr="00C014F2">
        <w:rPr>
          <w:rFonts w:ascii="Arial" w:hAnsi="Arial" w:cs="Arial"/>
          <w:bCs/>
          <w:sz w:val="22"/>
          <w:szCs w:val="22"/>
        </w:rPr>
        <w:t>.</w:t>
      </w:r>
    </w:p>
    <w:p w:rsidR="00221369" w:rsidRPr="00D07DD2" w:rsidRDefault="00221369" w:rsidP="00DF3AA7">
      <w:pPr>
        <w:tabs>
          <w:tab w:val="left" w:pos="360"/>
        </w:tabs>
        <w:jc w:val="both"/>
        <w:rPr>
          <w:rFonts w:ascii="Arial" w:hAnsi="Arial" w:cs="Arial"/>
          <w:bCs/>
          <w:sz w:val="16"/>
          <w:szCs w:val="18"/>
        </w:rPr>
      </w:pPr>
      <w:r>
        <w:rPr>
          <w:noProof/>
        </w:rPr>
        <w:drawing>
          <wp:inline distT="0" distB="0" distL="0" distR="0">
            <wp:extent cx="4635500" cy="2992967"/>
            <wp:effectExtent l="19050" t="0" r="12700" b="16933"/>
            <wp:docPr id="4165373" name="Gráfico 4165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F3AA7" w:rsidRDefault="00DF3AA7" w:rsidP="00DF3AA7">
      <w:pPr>
        <w:tabs>
          <w:tab w:val="left" w:pos="360"/>
        </w:tabs>
        <w:jc w:val="both"/>
        <w:rPr>
          <w:rFonts w:ascii="Arial" w:hAnsi="Arial" w:cs="Arial"/>
          <w:bCs/>
          <w:sz w:val="16"/>
          <w:szCs w:val="18"/>
        </w:rPr>
      </w:pPr>
    </w:p>
    <w:p w:rsidR="00DF3AA7" w:rsidRPr="00C014F2" w:rsidRDefault="00DF3AA7" w:rsidP="00DF3AA7">
      <w:pPr>
        <w:tabs>
          <w:tab w:val="left" w:pos="360"/>
        </w:tabs>
        <w:jc w:val="both"/>
        <w:rPr>
          <w:rFonts w:ascii="Arial" w:hAnsi="Arial" w:cs="Arial"/>
          <w:bCs/>
          <w:sz w:val="22"/>
          <w:szCs w:val="22"/>
        </w:rPr>
      </w:pPr>
    </w:p>
    <w:p w:rsidR="00DF3AA7" w:rsidRPr="00C014F2" w:rsidRDefault="00221369" w:rsidP="00DF3AA7">
      <w:pPr>
        <w:pStyle w:val="Textoindependiente"/>
        <w:rPr>
          <w:bCs/>
          <w:sz w:val="22"/>
          <w:szCs w:val="22"/>
        </w:rPr>
      </w:pPr>
      <w:r w:rsidRPr="00C014F2">
        <w:rPr>
          <w:bCs/>
          <w:sz w:val="22"/>
          <w:szCs w:val="22"/>
        </w:rPr>
        <w:t>A Diciembre de 2014</w:t>
      </w:r>
      <w:r w:rsidR="00DF3AA7" w:rsidRPr="00C014F2">
        <w:rPr>
          <w:bCs/>
          <w:sz w:val="22"/>
          <w:szCs w:val="22"/>
        </w:rPr>
        <w:t xml:space="preserve"> se puede decir que se ha cumplido e implementado la Auto evaluación de la Gestión de los procesos, se ha constatado y preparado dichos informes para la realización de esta Revisión por la Direccion del S.G.C. </w:t>
      </w:r>
    </w:p>
    <w:p w:rsidR="00DF3AA7" w:rsidRPr="00C014F2" w:rsidRDefault="00DF3AA7" w:rsidP="00DF3AA7">
      <w:pPr>
        <w:tabs>
          <w:tab w:val="left" w:pos="360"/>
        </w:tabs>
        <w:jc w:val="both"/>
        <w:rPr>
          <w:rFonts w:ascii="Arial" w:hAnsi="Arial" w:cs="Arial"/>
          <w:bCs/>
          <w:sz w:val="22"/>
          <w:szCs w:val="22"/>
        </w:rPr>
      </w:pPr>
    </w:p>
    <w:p w:rsidR="00DF3AA7" w:rsidRPr="00C014F2" w:rsidRDefault="00DF3AA7" w:rsidP="00DF3AA7">
      <w:pPr>
        <w:jc w:val="both"/>
        <w:rPr>
          <w:rFonts w:ascii="Arial" w:hAnsi="Arial" w:cs="Arial"/>
          <w:bCs/>
          <w:sz w:val="22"/>
          <w:szCs w:val="22"/>
        </w:rPr>
      </w:pPr>
      <w:r w:rsidRPr="00C014F2">
        <w:rPr>
          <w:rFonts w:ascii="Arial" w:hAnsi="Arial" w:cs="Arial"/>
          <w:bCs/>
          <w:sz w:val="22"/>
          <w:szCs w:val="22"/>
        </w:rPr>
        <w:t xml:space="preserve">Durante el </w:t>
      </w:r>
      <w:r w:rsidR="00221369" w:rsidRPr="00C014F2">
        <w:rPr>
          <w:rFonts w:ascii="Arial" w:hAnsi="Arial" w:cs="Arial"/>
          <w:bCs/>
          <w:sz w:val="22"/>
          <w:szCs w:val="22"/>
        </w:rPr>
        <w:t>segundo semestre  de 2014</w:t>
      </w:r>
      <w:r w:rsidRPr="00C014F2">
        <w:rPr>
          <w:rFonts w:ascii="Arial" w:hAnsi="Arial" w:cs="Arial"/>
          <w:bCs/>
          <w:sz w:val="22"/>
          <w:szCs w:val="22"/>
        </w:rPr>
        <w:t xml:space="preserve"> se cumplieron 9 objetivos del plan de acción, se está realizando la planificación para el cumplimiento de todos los demás objetivos del plan de acción mediante actividades en los diferentes proyectos y mediante el cumplimiento del plan de mercadeo para el 201</w:t>
      </w:r>
      <w:r w:rsidR="00221369" w:rsidRPr="00C014F2">
        <w:rPr>
          <w:rFonts w:ascii="Arial" w:hAnsi="Arial" w:cs="Arial"/>
          <w:bCs/>
          <w:sz w:val="22"/>
          <w:szCs w:val="22"/>
        </w:rPr>
        <w:t>4</w:t>
      </w:r>
    </w:p>
    <w:p w:rsidR="00DF3AA7" w:rsidRPr="00C014F2" w:rsidRDefault="00DF3AA7" w:rsidP="00DF3AA7">
      <w:pPr>
        <w:rPr>
          <w:rFonts w:ascii="Arial" w:hAnsi="Arial" w:cs="Arial"/>
          <w:sz w:val="22"/>
          <w:szCs w:val="22"/>
        </w:rPr>
      </w:pPr>
    </w:p>
    <w:p w:rsidR="00DF3AA7" w:rsidRPr="00C014F2" w:rsidRDefault="00DF3AA7" w:rsidP="00DF3AA7">
      <w:pPr>
        <w:tabs>
          <w:tab w:val="left" w:pos="360"/>
        </w:tabs>
        <w:jc w:val="both"/>
        <w:rPr>
          <w:rFonts w:ascii="Arial" w:hAnsi="Arial" w:cs="Arial"/>
          <w:bCs/>
          <w:sz w:val="22"/>
          <w:szCs w:val="22"/>
        </w:rPr>
      </w:pPr>
      <w:r w:rsidRPr="00C014F2">
        <w:rPr>
          <w:rFonts w:ascii="Arial" w:hAnsi="Arial" w:cs="Arial"/>
          <w:bCs/>
          <w:sz w:val="22"/>
          <w:szCs w:val="22"/>
        </w:rPr>
        <w:t>Para mejor análisis e ilustración se anexan los indicadores de gestión del proceso a esta acta.</w:t>
      </w:r>
    </w:p>
    <w:p w:rsidR="00DF3AA7" w:rsidRPr="00C014F2" w:rsidRDefault="00DF3AA7" w:rsidP="00DF3AA7">
      <w:pPr>
        <w:pStyle w:val="Ttulo7"/>
        <w:rPr>
          <w:rFonts w:ascii="Arial" w:hAnsi="Arial" w:cs="Arial"/>
          <w:sz w:val="22"/>
          <w:szCs w:val="22"/>
        </w:rPr>
      </w:pPr>
      <w:r w:rsidRPr="00C014F2">
        <w:rPr>
          <w:rFonts w:ascii="Arial" w:hAnsi="Arial" w:cs="Arial"/>
          <w:sz w:val="22"/>
          <w:szCs w:val="22"/>
        </w:rPr>
        <w:t>e procedió a realizar la revisión del desempeño de los procesos ESTRATÉGICOS DEL INSTITUTO.</w:t>
      </w:r>
    </w:p>
    <w:p w:rsidR="00DF3AA7" w:rsidRPr="00C014F2" w:rsidRDefault="00DF3AA7" w:rsidP="00DF3AA7">
      <w:pPr>
        <w:rPr>
          <w:rFonts w:ascii="Arial" w:hAnsi="Arial" w:cs="Arial"/>
          <w:sz w:val="22"/>
          <w:szCs w:val="22"/>
        </w:rPr>
      </w:pPr>
    </w:p>
    <w:p w:rsidR="00DF3AA7" w:rsidRPr="00C014F2" w:rsidRDefault="00DF3AA7" w:rsidP="00DF3AA7">
      <w:pPr>
        <w:jc w:val="both"/>
        <w:rPr>
          <w:rFonts w:ascii="Arial" w:hAnsi="Arial" w:cs="Arial"/>
          <w:b/>
          <w:bCs/>
          <w:sz w:val="22"/>
          <w:szCs w:val="22"/>
        </w:rPr>
      </w:pPr>
      <w:r w:rsidRPr="00C014F2">
        <w:rPr>
          <w:rFonts w:ascii="Arial" w:hAnsi="Arial" w:cs="Arial"/>
          <w:b/>
          <w:bCs/>
          <w:color w:val="008000"/>
          <w:sz w:val="22"/>
          <w:szCs w:val="22"/>
        </w:rPr>
        <w:t>4.13</w:t>
      </w:r>
      <w:r w:rsidR="00C014F2" w:rsidRPr="00C014F2">
        <w:rPr>
          <w:rFonts w:ascii="Arial" w:hAnsi="Arial" w:cs="Arial"/>
          <w:b/>
          <w:bCs/>
          <w:color w:val="008000"/>
          <w:sz w:val="22"/>
          <w:szCs w:val="22"/>
        </w:rPr>
        <w:t>. GESTION</w:t>
      </w:r>
      <w:r w:rsidRPr="00C014F2">
        <w:rPr>
          <w:rFonts w:ascii="Arial" w:hAnsi="Arial" w:cs="Arial"/>
          <w:b/>
          <w:bCs/>
          <w:color w:val="008000"/>
          <w:sz w:val="22"/>
          <w:szCs w:val="22"/>
        </w:rPr>
        <w:t xml:space="preserve"> COMERCIAL Y MERCADEO</w:t>
      </w:r>
    </w:p>
    <w:p w:rsidR="00DF3AA7" w:rsidRPr="00C014F2" w:rsidRDefault="00DF3AA7" w:rsidP="00DF3AA7">
      <w:pPr>
        <w:tabs>
          <w:tab w:val="left" w:pos="360"/>
        </w:tabs>
        <w:jc w:val="both"/>
        <w:rPr>
          <w:rFonts w:ascii="Arial" w:hAnsi="Arial" w:cs="Arial"/>
          <w:b/>
          <w:bCs/>
          <w:sz w:val="22"/>
          <w:szCs w:val="22"/>
        </w:rPr>
      </w:pPr>
    </w:p>
    <w:p w:rsidR="00DF3AA7" w:rsidRPr="00C014F2" w:rsidRDefault="00DF3AA7" w:rsidP="00DF3AA7">
      <w:pPr>
        <w:tabs>
          <w:tab w:val="left" w:pos="360"/>
        </w:tabs>
        <w:jc w:val="both"/>
        <w:rPr>
          <w:rFonts w:ascii="Arial" w:hAnsi="Arial" w:cs="Arial"/>
          <w:b/>
          <w:bCs/>
          <w:sz w:val="22"/>
          <w:szCs w:val="22"/>
        </w:rPr>
      </w:pPr>
      <w:r w:rsidRPr="00C014F2">
        <w:rPr>
          <w:rFonts w:ascii="Arial" w:hAnsi="Arial" w:cs="Arial"/>
          <w:sz w:val="22"/>
          <w:szCs w:val="22"/>
        </w:rPr>
        <w:t>La Dra Martha Montero, entrego informe de Auto evaluación de la Gestión y  expuso los resultados de los indicadores del proceso así:</w:t>
      </w:r>
    </w:p>
    <w:p w:rsidR="00DF3AA7" w:rsidRPr="00C014F2" w:rsidRDefault="00DF3AA7" w:rsidP="00DF3AA7">
      <w:pPr>
        <w:tabs>
          <w:tab w:val="left" w:pos="360"/>
        </w:tabs>
        <w:jc w:val="both"/>
        <w:rPr>
          <w:rFonts w:ascii="Arial" w:hAnsi="Arial" w:cs="Arial"/>
          <w:b/>
          <w:bCs/>
          <w:sz w:val="22"/>
          <w:szCs w:val="22"/>
        </w:rPr>
      </w:pPr>
    </w:p>
    <w:p w:rsidR="00DF3AA7" w:rsidRPr="00C014F2" w:rsidRDefault="00DF3AA7" w:rsidP="00DF3AA7">
      <w:pPr>
        <w:tabs>
          <w:tab w:val="left" w:pos="360"/>
        </w:tabs>
        <w:jc w:val="both"/>
        <w:rPr>
          <w:rFonts w:ascii="Arial" w:hAnsi="Arial" w:cs="Arial"/>
          <w:b/>
          <w:bCs/>
          <w:sz w:val="22"/>
          <w:szCs w:val="22"/>
        </w:rPr>
      </w:pPr>
      <w:r w:rsidRPr="00C014F2">
        <w:rPr>
          <w:rFonts w:ascii="Arial" w:hAnsi="Arial" w:cs="Arial"/>
          <w:b/>
          <w:bCs/>
          <w:sz w:val="22"/>
          <w:szCs w:val="22"/>
        </w:rPr>
        <w:t>%CRECIMIENTO DE CLIENTES</w:t>
      </w:r>
    </w:p>
    <w:p w:rsidR="00DF3AA7" w:rsidRPr="00C014F2" w:rsidRDefault="00DF3AA7" w:rsidP="00DF3AA7">
      <w:pPr>
        <w:tabs>
          <w:tab w:val="left" w:pos="360"/>
        </w:tabs>
        <w:jc w:val="both"/>
        <w:rPr>
          <w:rFonts w:ascii="Arial" w:hAnsi="Arial" w:cs="Arial"/>
          <w:b/>
          <w:bCs/>
          <w:sz w:val="22"/>
          <w:szCs w:val="22"/>
        </w:rPr>
      </w:pPr>
    </w:p>
    <w:p w:rsidR="00DF3AA7" w:rsidRDefault="00221369" w:rsidP="00DF3AA7">
      <w:pPr>
        <w:tabs>
          <w:tab w:val="left" w:pos="360"/>
        </w:tabs>
        <w:jc w:val="both"/>
        <w:rPr>
          <w:rFonts w:ascii="Arial" w:hAnsi="Arial" w:cs="Arial"/>
          <w:b/>
          <w:bCs/>
          <w:sz w:val="16"/>
          <w:szCs w:val="14"/>
        </w:rPr>
      </w:pPr>
      <w:r>
        <w:rPr>
          <w:noProof/>
        </w:rPr>
        <w:drawing>
          <wp:inline distT="0" distB="0" distL="0" distR="0">
            <wp:extent cx="5393630" cy="1966823"/>
            <wp:effectExtent l="19050" t="0" r="16570" b="0"/>
            <wp:docPr id="4165375" name="Gráfico 4165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F3AA7" w:rsidRPr="00BE03F1" w:rsidRDefault="00DF3AA7" w:rsidP="00DF3AA7">
      <w:pPr>
        <w:tabs>
          <w:tab w:val="left" w:pos="360"/>
        </w:tabs>
        <w:jc w:val="center"/>
        <w:rPr>
          <w:rFonts w:ascii="Arial" w:hAnsi="Arial" w:cs="Arial"/>
          <w:b/>
          <w:bCs/>
          <w:sz w:val="22"/>
          <w:szCs w:val="22"/>
        </w:rPr>
      </w:pPr>
    </w:p>
    <w:p w:rsidR="00DF3AA7" w:rsidRPr="00BE03F1" w:rsidRDefault="00DF3AA7" w:rsidP="00DF3AA7">
      <w:pPr>
        <w:tabs>
          <w:tab w:val="left" w:pos="360"/>
        </w:tabs>
        <w:jc w:val="both"/>
        <w:rPr>
          <w:rFonts w:ascii="Arial" w:hAnsi="Arial" w:cs="Arial"/>
          <w:bCs/>
          <w:sz w:val="22"/>
          <w:szCs w:val="22"/>
          <w:lang w:val="es-CO"/>
        </w:rPr>
      </w:pPr>
      <w:r w:rsidRPr="00BE03F1">
        <w:rPr>
          <w:rFonts w:ascii="Arial" w:hAnsi="Arial" w:cs="Arial"/>
          <w:bCs/>
          <w:sz w:val="22"/>
          <w:szCs w:val="22"/>
          <w:lang w:val="es-CO"/>
        </w:rPr>
        <w:t xml:space="preserve">Idesan </w:t>
      </w:r>
      <w:r w:rsidR="00221369" w:rsidRPr="00BE03F1">
        <w:rPr>
          <w:rFonts w:ascii="Arial" w:hAnsi="Arial" w:cs="Arial"/>
          <w:bCs/>
          <w:sz w:val="22"/>
          <w:szCs w:val="22"/>
          <w:lang w:val="es-CO"/>
        </w:rPr>
        <w:t>descendio en 1,54% en clientes</w:t>
      </w:r>
    </w:p>
    <w:p w:rsidR="00DF3AA7" w:rsidRPr="00BE03F1" w:rsidRDefault="00DF3AA7" w:rsidP="00DF3AA7">
      <w:pPr>
        <w:tabs>
          <w:tab w:val="left" w:pos="360"/>
        </w:tabs>
        <w:jc w:val="both"/>
        <w:rPr>
          <w:rFonts w:ascii="Arial" w:hAnsi="Arial" w:cs="Arial"/>
          <w:bCs/>
          <w:sz w:val="22"/>
          <w:szCs w:val="22"/>
          <w:lang w:val="es-CO"/>
        </w:rPr>
      </w:pPr>
    </w:p>
    <w:p w:rsidR="00DF3AA7" w:rsidRPr="00BE03F1" w:rsidRDefault="00DF3AA7" w:rsidP="00DF3AA7">
      <w:pPr>
        <w:tabs>
          <w:tab w:val="left" w:pos="360"/>
        </w:tabs>
        <w:jc w:val="both"/>
        <w:rPr>
          <w:rFonts w:ascii="Arial" w:hAnsi="Arial" w:cs="Arial"/>
          <w:b/>
          <w:bCs/>
          <w:sz w:val="22"/>
          <w:szCs w:val="22"/>
        </w:rPr>
      </w:pPr>
      <w:r w:rsidRPr="00BE03F1">
        <w:rPr>
          <w:rFonts w:ascii="Arial" w:hAnsi="Arial" w:cs="Arial"/>
          <w:b/>
          <w:bCs/>
          <w:sz w:val="22"/>
          <w:szCs w:val="22"/>
        </w:rPr>
        <w:t>% EFECTIVIDAD COMERCIAL</w:t>
      </w:r>
    </w:p>
    <w:p w:rsidR="00DF3AA7" w:rsidRDefault="00DF3AA7" w:rsidP="00DF3AA7">
      <w:pPr>
        <w:tabs>
          <w:tab w:val="left" w:pos="360"/>
        </w:tabs>
        <w:jc w:val="both"/>
        <w:rPr>
          <w:rFonts w:ascii="Arial" w:hAnsi="Arial" w:cs="Arial"/>
          <w:b/>
          <w:bCs/>
          <w:sz w:val="16"/>
          <w:szCs w:val="14"/>
        </w:rPr>
      </w:pPr>
    </w:p>
    <w:p w:rsidR="00DF3AA7" w:rsidRDefault="00221369" w:rsidP="00E8707D">
      <w:pPr>
        <w:tabs>
          <w:tab w:val="left" w:pos="360"/>
        </w:tabs>
        <w:jc w:val="center"/>
        <w:rPr>
          <w:rFonts w:ascii="Arial" w:hAnsi="Arial" w:cs="Arial"/>
          <w:bCs/>
          <w:sz w:val="16"/>
          <w:szCs w:val="14"/>
          <w:lang w:val="es-CO"/>
        </w:rPr>
      </w:pPr>
      <w:r>
        <w:rPr>
          <w:noProof/>
        </w:rPr>
        <w:drawing>
          <wp:inline distT="0" distB="0" distL="0" distR="0">
            <wp:extent cx="4191992" cy="2259807"/>
            <wp:effectExtent l="19050" t="0" r="18058" b="7143"/>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F3AA7" w:rsidRDefault="00DF3AA7" w:rsidP="00DF3AA7">
      <w:pPr>
        <w:tabs>
          <w:tab w:val="left" w:pos="360"/>
        </w:tabs>
        <w:jc w:val="both"/>
        <w:rPr>
          <w:rFonts w:ascii="Arial" w:hAnsi="Arial" w:cs="Arial"/>
          <w:bCs/>
          <w:sz w:val="16"/>
          <w:szCs w:val="14"/>
          <w:lang w:val="es-CO"/>
        </w:rPr>
      </w:pPr>
    </w:p>
    <w:p w:rsidR="00DF3AA7" w:rsidRPr="00E8707D" w:rsidRDefault="00DF3AA7" w:rsidP="00DF3AA7">
      <w:pPr>
        <w:tabs>
          <w:tab w:val="left" w:pos="360"/>
        </w:tabs>
        <w:jc w:val="both"/>
        <w:rPr>
          <w:rFonts w:ascii="Arial" w:hAnsi="Arial" w:cs="Arial"/>
          <w:bCs/>
          <w:sz w:val="22"/>
          <w:szCs w:val="22"/>
          <w:lang w:val="es-CO"/>
        </w:rPr>
      </w:pPr>
      <w:r w:rsidRPr="00E8707D">
        <w:rPr>
          <w:rFonts w:ascii="Arial" w:hAnsi="Arial" w:cs="Arial"/>
          <w:bCs/>
          <w:sz w:val="22"/>
          <w:szCs w:val="22"/>
          <w:lang w:val="es-CO"/>
        </w:rPr>
        <w:t>La</w:t>
      </w:r>
      <w:r w:rsidR="00221369" w:rsidRPr="00E8707D">
        <w:rPr>
          <w:rFonts w:ascii="Arial" w:hAnsi="Arial" w:cs="Arial"/>
          <w:bCs/>
          <w:sz w:val="22"/>
          <w:szCs w:val="22"/>
          <w:lang w:val="es-CO"/>
        </w:rPr>
        <w:t xml:space="preserve"> efectividad comercial es del 100</w:t>
      </w:r>
      <w:r w:rsidRPr="00E8707D">
        <w:rPr>
          <w:rFonts w:ascii="Arial" w:hAnsi="Arial" w:cs="Arial"/>
          <w:bCs/>
          <w:sz w:val="22"/>
          <w:szCs w:val="22"/>
          <w:lang w:val="es-CO"/>
        </w:rPr>
        <w:t xml:space="preserve">%, ya que se visitaron pocos clientes, pero fueron efectivos, adicionalmente, se </w:t>
      </w:r>
      <w:r w:rsidR="00E8707D" w:rsidRPr="00E8707D">
        <w:rPr>
          <w:rFonts w:ascii="Arial" w:hAnsi="Arial" w:cs="Arial"/>
          <w:bCs/>
          <w:sz w:val="22"/>
          <w:szCs w:val="22"/>
          <w:lang w:val="es-CO"/>
        </w:rPr>
        <w:t>está</w:t>
      </w:r>
      <w:r w:rsidRPr="00E8707D">
        <w:rPr>
          <w:rFonts w:ascii="Arial" w:hAnsi="Arial" w:cs="Arial"/>
          <w:bCs/>
          <w:sz w:val="22"/>
          <w:szCs w:val="22"/>
          <w:lang w:val="es-CO"/>
        </w:rPr>
        <w:t xml:space="preserve"> haciendo gestión con los clientes activos.</w:t>
      </w:r>
    </w:p>
    <w:p w:rsidR="00DF3AA7" w:rsidRPr="00E8707D" w:rsidRDefault="00DF3AA7" w:rsidP="00DF3AA7">
      <w:pPr>
        <w:tabs>
          <w:tab w:val="left" w:pos="360"/>
        </w:tabs>
        <w:jc w:val="both"/>
        <w:rPr>
          <w:rFonts w:ascii="Arial" w:hAnsi="Arial" w:cs="Arial"/>
          <w:b/>
          <w:bCs/>
          <w:sz w:val="22"/>
          <w:szCs w:val="22"/>
        </w:rPr>
      </w:pPr>
    </w:p>
    <w:p w:rsidR="00DF3AA7" w:rsidRPr="00E8707D" w:rsidRDefault="00DF3AA7" w:rsidP="00DF3AA7">
      <w:pPr>
        <w:tabs>
          <w:tab w:val="left" w:pos="360"/>
        </w:tabs>
        <w:jc w:val="both"/>
        <w:rPr>
          <w:rFonts w:ascii="Arial" w:hAnsi="Arial" w:cs="Arial"/>
          <w:b/>
          <w:bCs/>
          <w:sz w:val="22"/>
          <w:szCs w:val="22"/>
        </w:rPr>
      </w:pPr>
      <w:r w:rsidRPr="00E8707D">
        <w:rPr>
          <w:rFonts w:ascii="Arial" w:hAnsi="Arial" w:cs="Arial"/>
          <w:b/>
          <w:bCs/>
          <w:sz w:val="22"/>
          <w:szCs w:val="22"/>
        </w:rPr>
        <w:t>SALDO DE CAPTACIONES</w:t>
      </w:r>
    </w:p>
    <w:p w:rsidR="00DF3AA7" w:rsidRPr="00E8707D" w:rsidRDefault="00DF3AA7" w:rsidP="00DF3AA7">
      <w:pPr>
        <w:tabs>
          <w:tab w:val="left" w:pos="360"/>
        </w:tabs>
        <w:jc w:val="both"/>
        <w:rPr>
          <w:rFonts w:ascii="Arial" w:hAnsi="Arial" w:cs="Arial"/>
          <w:b/>
          <w:bCs/>
          <w:sz w:val="22"/>
          <w:szCs w:val="22"/>
        </w:rPr>
      </w:pPr>
    </w:p>
    <w:p w:rsidR="00DF3AA7" w:rsidRDefault="00221369" w:rsidP="00DF3AA7">
      <w:pPr>
        <w:tabs>
          <w:tab w:val="left" w:pos="360"/>
        </w:tabs>
        <w:jc w:val="both"/>
        <w:rPr>
          <w:rFonts w:ascii="Arial" w:hAnsi="Arial" w:cs="Arial"/>
          <w:bCs/>
          <w:sz w:val="16"/>
          <w:szCs w:val="14"/>
          <w:lang w:val="es-CO"/>
        </w:rPr>
      </w:pPr>
      <w:r>
        <w:rPr>
          <w:noProof/>
        </w:rPr>
        <w:drawing>
          <wp:inline distT="0" distB="0" distL="0" distR="0">
            <wp:extent cx="5390455" cy="2027207"/>
            <wp:effectExtent l="19050" t="0" r="19745"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F3AA7" w:rsidRDefault="00DF3AA7" w:rsidP="00DF3AA7">
      <w:pPr>
        <w:tabs>
          <w:tab w:val="left" w:pos="360"/>
        </w:tabs>
        <w:jc w:val="both"/>
        <w:rPr>
          <w:rFonts w:ascii="Arial" w:hAnsi="Arial" w:cs="Arial"/>
          <w:bCs/>
          <w:sz w:val="16"/>
          <w:szCs w:val="14"/>
          <w:lang w:val="es-CO"/>
        </w:rPr>
      </w:pPr>
    </w:p>
    <w:p w:rsidR="00DF3AA7" w:rsidRPr="00E8707D" w:rsidRDefault="00DF3AA7" w:rsidP="00DF3AA7">
      <w:pPr>
        <w:tabs>
          <w:tab w:val="left" w:pos="360"/>
        </w:tabs>
        <w:jc w:val="both"/>
        <w:rPr>
          <w:rFonts w:ascii="Arial" w:hAnsi="Arial" w:cs="Arial"/>
          <w:bCs/>
          <w:sz w:val="22"/>
          <w:szCs w:val="22"/>
          <w:lang w:val="es-CO"/>
        </w:rPr>
      </w:pPr>
      <w:r w:rsidRPr="00E8707D">
        <w:rPr>
          <w:rFonts w:ascii="Arial" w:hAnsi="Arial" w:cs="Arial"/>
          <w:bCs/>
          <w:sz w:val="22"/>
          <w:szCs w:val="22"/>
          <w:lang w:val="es-CO"/>
        </w:rPr>
        <w:t>Como resultado de la actividad comercial realizada en el segundo trimestre del año, tenemos que el saldo de captaciones a 31</w:t>
      </w:r>
      <w:r w:rsidR="00DD68EB" w:rsidRPr="00E8707D">
        <w:rPr>
          <w:rFonts w:ascii="Arial" w:hAnsi="Arial" w:cs="Arial"/>
          <w:bCs/>
          <w:sz w:val="22"/>
          <w:szCs w:val="22"/>
          <w:lang w:val="es-CO"/>
        </w:rPr>
        <w:t xml:space="preserve"> de Junio  de 2014</w:t>
      </w:r>
      <w:r w:rsidRPr="00E8707D">
        <w:rPr>
          <w:rFonts w:ascii="Arial" w:hAnsi="Arial" w:cs="Arial"/>
          <w:bCs/>
          <w:sz w:val="22"/>
          <w:szCs w:val="22"/>
          <w:lang w:val="es-CO"/>
        </w:rPr>
        <w:t xml:space="preserve"> fue de $</w:t>
      </w:r>
      <w:r w:rsidR="00221369" w:rsidRPr="00E8707D">
        <w:rPr>
          <w:rFonts w:ascii="Arial" w:hAnsi="Arial" w:cs="Arial"/>
          <w:b/>
          <w:bCs/>
          <w:sz w:val="22"/>
          <w:szCs w:val="22"/>
          <w:lang w:val="es-CO"/>
        </w:rPr>
        <w:t>62.584.985.306,02</w:t>
      </w:r>
    </w:p>
    <w:p w:rsidR="00DD68EB" w:rsidRDefault="00DD68EB" w:rsidP="00DF3AA7">
      <w:pPr>
        <w:jc w:val="both"/>
        <w:rPr>
          <w:rFonts w:ascii="Arial" w:hAnsi="Arial" w:cs="Arial"/>
          <w:bCs/>
          <w:sz w:val="16"/>
          <w:szCs w:val="14"/>
          <w:lang w:val="es-CO"/>
        </w:rPr>
      </w:pPr>
    </w:p>
    <w:p w:rsidR="00DD68EB" w:rsidRDefault="00DD68EB" w:rsidP="00DF3AA7">
      <w:pPr>
        <w:jc w:val="both"/>
        <w:rPr>
          <w:rFonts w:ascii="Arial" w:hAnsi="Arial" w:cs="Arial"/>
          <w:bCs/>
          <w:sz w:val="16"/>
          <w:szCs w:val="14"/>
          <w:lang w:val="es-CO"/>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E8707D" w:rsidRDefault="00E8707D" w:rsidP="00DF3AA7">
      <w:pPr>
        <w:jc w:val="both"/>
        <w:rPr>
          <w:rFonts w:ascii="Arial" w:hAnsi="Arial" w:cs="Arial"/>
          <w:b/>
          <w:bCs/>
          <w:color w:val="008000"/>
          <w:sz w:val="16"/>
          <w:szCs w:val="14"/>
        </w:rPr>
      </w:pPr>
    </w:p>
    <w:p w:rsidR="00DF3AA7" w:rsidRPr="00E8707D" w:rsidRDefault="00DF3AA7" w:rsidP="00DF3AA7">
      <w:pPr>
        <w:jc w:val="both"/>
        <w:rPr>
          <w:rFonts w:ascii="Arial" w:hAnsi="Arial" w:cs="Arial"/>
          <w:b/>
          <w:bCs/>
          <w:color w:val="008000"/>
          <w:sz w:val="22"/>
          <w:szCs w:val="22"/>
        </w:rPr>
      </w:pPr>
      <w:r w:rsidRPr="00E8707D">
        <w:rPr>
          <w:rFonts w:ascii="Arial" w:hAnsi="Arial" w:cs="Arial"/>
          <w:b/>
          <w:bCs/>
          <w:color w:val="008000"/>
          <w:sz w:val="22"/>
          <w:szCs w:val="22"/>
        </w:rPr>
        <w:t>4.14. GESTION GERENCIAL Y PLANEACION DE LA ENTIDAD.</w:t>
      </w:r>
    </w:p>
    <w:p w:rsidR="00DF3AA7" w:rsidRPr="00E8707D" w:rsidRDefault="00DF3AA7" w:rsidP="00DF3AA7">
      <w:pPr>
        <w:tabs>
          <w:tab w:val="left" w:pos="360"/>
        </w:tabs>
        <w:jc w:val="both"/>
        <w:rPr>
          <w:rFonts w:ascii="Arial" w:hAnsi="Arial" w:cs="Arial"/>
          <w:b/>
          <w:bCs/>
          <w:sz w:val="22"/>
          <w:szCs w:val="22"/>
        </w:rPr>
      </w:pPr>
    </w:p>
    <w:p w:rsidR="00DF3AA7" w:rsidRPr="00E8707D" w:rsidRDefault="00DF3AA7" w:rsidP="00DF3AA7">
      <w:pPr>
        <w:tabs>
          <w:tab w:val="left" w:pos="360"/>
        </w:tabs>
        <w:jc w:val="both"/>
        <w:rPr>
          <w:rFonts w:ascii="Arial" w:hAnsi="Arial" w:cs="Arial"/>
          <w:b/>
          <w:bCs/>
          <w:sz w:val="22"/>
          <w:szCs w:val="22"/>
        </w:rPr>
      </w:pPr>
    </w:p>
    <w:p w:rsidR="00DF3AA7" w:rsidRPr="00E8707D" w:rsidRDefault="00DF3AA7" w:rsidP="00DF3AA7">
      <w:pPr>
        <w:tabs>
          <w:tab w:val="left" w:pos="360"/>
        </w:tabs>
        <w:jc w:val="both"/>
        <w:rPr>
          <w:rFonts w:ascii="Arial" w:hAnsi="Arial" w:cs="Arial"/>
          <w:b/>
          <w:bCs/>
          <w:sz w:val="22"/>
          <w:szCs w:val="22"/>
        </w:rPr>
      </w:pPr>
      <w:r w:rsidRPr="00E8707D">
        <w:rPr>
          <w:rFonts w:ascii="Arial" w:hAnsi="Arial" w:cs="Arial"/>
          <w:b/>
          <w:bCs/>
          <w:sz w:val="22"/>
          <w:szCs w:val="22"/>
        </w:rPr>
        <w:t>EFICACIA, EFICIENCIA Y EFECTIVIDAD DEL S.G.C.</w:t>
      </w:r>
    </w:p>
    <w:p w:rsidR="00DF3AA7" w:rsidRPr="00E8707D" w:rsidRDefault="00DF3AA7" w:rsidP="00DF3AA7">
      <w:pPr>
        <w:tabs>
          <w:tab w:val="left" w:pos="360"/>
        </w:tabs>
        <w:jc w:val="both"/>
        <w:rPr>
          <w:rFonts w:ascii="Arial" w:hAnsi="Arial" w:cs="Arial"/>
          <w:b/>
          <w:bCs/>
          <w:sz w:val="22"/>
          <w:szCs w:val="22"/>
        </w:rPr>
      </w:pPr>
    </w:p>
    <w:p w:rsidR="004720DC" w:rsidRDefault="004720DC" w:rsidP="00DF3AA7">
      <w:pPr>
        <w:tabs>
          <w:tab w:val="left" w:pos="360"/>
        </w:tabs>
        <w:jc w:val="both"/>
        <w:rPr>
          <w:rFonts w:ascii="Arial" w:hAnsi="Arial" w:cs="Arial"/>
          <w:b/>
          <w:bCs/>
          <w:sz w:val="16"/>
          <w:szCs w:val="14"/>
        </w:rPr>
      </w:pPr>
      <w:r>
        <w:rPr>
          <w:noProof/>
        </w:rPr>
        <w:drawing>
          <wp:inline distT="0" distB="0" distL="0" distR="0">
            <wp:extent cx="5400040" cy="3115885"/>
            <wp:effectExtent l="19050" t="0" r="10160" b="2736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720DC" w:rsidRDefault="004720DC" w:rsidP="00DF3AA7">
      <w:pPr>
        <w:tabs>
          <w:tab w:val="left" w:pos="360"/>
        </w:tabs>
        <w:jc w:val="both"/>
        <w:rPr>
          <w:rFonts w:ascii="Arial" w:hAnsi="Arial" w:cs="Arial"/>
          <w:b/>
          <w:bCs/>
          <w:sz w:val="16"/>
          <w:szCs w:val="14"/>
        </w:rPr>
      </w:pPr>
      <w:r>
        <w:rPr>
          <w:noProof/>
        </w:rPr>
        <w:drawing>
          <wp:inline distT="0" distB="0" distL="0" distR="0">
            <wp:extent cx="5384800" cy="2946400"/>
            <wp:effectExtent l="19050" t="0" r="25400" b="2540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720DC" w:rsidRDefault="004720DC" w:rsidP="00DF3AA7">
      <w:pPr>
        <w:tabs>
          <w:tab w:val="left" w:pos="360"/>
        </w:tabs>
        <w:jc w:val="both"/>
        <w:rPr>
          <w:rFonts w:ascii="Arial" w:hAnsi="Arial" w:cs="Arial"/>
          <w:b/>
          <w:bCs/>
          <w:sz w:val="16"/>
          <w:szCs w:val="14"/>
        </w:rPr>
      </w:pPr>
      <w:r>
        <w:rPr>
          <w:noProof/>
        </w:rPr>
        <w:drawing>
          <wp:inline distT="0" distB="0" distL="0" distR="0">
            <wp:extent cx="5359400" cy="2959100"/>
            <wp:effectExtent l="19050" t="0" r="12700" b="1270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720DC" w:rsidRDefault="004720DC" w:rsidP="00DF3AA7">
      <w:pPr>
        <w:tabs>
          <w:tab w:val="left" w:pos="360"/>
        </w:tabs>
        <w:jc w:val="both"/>
        <w:rPr>
          <w:rFonts w:ascii="Arial" w:hAnsi="Arial" w:cs="Arial"/>
          <w:b/>
          <w:bCs/>
          <w:sz w:val="16"/>
          <w:szCs w:val="14"/>
        </w:rPr>
      </w:pPr>
    </w:p>
    <w:p w:rsidR="004720DC" w:rsidRPr="00E8707D" w:rsidRDefault="004720DC" w:rsidP="00DF3AA7">
      <w:pPr>
        <w:tabs>
          <w:tab w:val="left" w:pos="360"/>
        </w:tabs>
        <w:jc w:val="both"/>
        <w:rPr>
          <w:rFonts w:ascii="Arial" w:hAnsi="Arial" w:cs="Arial"/>
          <w:b/>
          <w:bCs/>
          <w:sz w:val="22"/>
          <w:szCs w:val="14"/>
        </w:rPr>
      </w:pPr>
    </w:p>
    <w:p w:rsidR="00DF3AA7" w:rsidRPr="00E8707D" w:rsidRDefault="00DF3AA7" w:rsidP="00DF3AA7">
      <w:pPr>
        <w:tabs>
          <w:tab w:val="left" w:pos="360"/>
        </w:tabs>
        <w:jc w:val="both"/>
        <w:rPr>
          <w:rFonts w:ascii="Arial" w:hAnsi="Arial" w:cs="Arial"/>
          <w:sz w:val="22"/>
          <w:szCs w:val="14"/>
        </w:rPr>
      </w:pPr>
      <w:r w:rsidRPr="00E8707D">
        <w:rPr>
          <w:rFonts w:ascii="Arial" w:hAnsi="Arial" w:cs="Arial"/>
          <w:sz w:val="22"/>
          <w:szCs w:val="14"/>
        </w:rPr>
        <w:t>Se puede observar que la utilización del cuadro de mando para calificar los indicadores de gestión permite conocer el grado de Eficacia, Eficiencia y Efectividad de la gestión del S.G.C y Control Interno del Idesan.</w:t>
      </w:r>
    </w:p>
    <w:p w:rsidR="00DF3AA7" w:rsidRPr="00E8707D" w:rsidRDefault="00DF3AA7" w:rsidP="00DF3AA7">
      <w:pPr>
        <w:tabs>
          <w:tab w:val="left" w:pos="360"/>
        </w:tabs>
        <w:jc w:val="both"/>
        <w:rPr>
          <w:rFonts w:ascii="Arial" w:hAnsi="Arial" w:cs="Arial"/>
          <w:sz w:val="22"/>
          <w:szCs w:val="14"/>
        </w:rPr>
      </w:pPr>
    </w:p>
    <w:p w:rsidR="00DF3AA7" w:rsidRPr="00E8707D" w:rsidRDefault="00DF3AA7" w:rsidP="00DF3AA7">
      <w:pPr>
        <w:tabs>
          <w:tab w:val="left" w:pos="360"/>
        </w:tabs>
        <w:jc w:val="both"/>
        <w:rPr>
          <w:rFonts w:ascii="Arial" w:hAnsi="Arial" w:cs="Arial"/>
          <w:sz w:val="22"/>
          <w:szCs w:val="14"/>
        </w:rPr>
      </w:pPr>
      <w:r w:rsidRPr="00E8707D">
        <w:rPr>
          <w:rFonts w:ascii="Arial" w:hAnsi="Arial" w:cs="Arial"/>
          <w:sz w:val="22"/>
          <w:szCs w:val="14"/>
        </w:rPr>
        <w:t xml:space="preserve">Es asi que el comportamiento de la Eficacia </w:t>
      </w:r>
      <w:r w:rsidR="004720DC" w:rsidRPr="00E8707D">
        <w:rPr>
          <w:rFonts w:ascii="Arial" w:hAnsi="Arial" w:cs="Arial"/>
          <w:b/>
          <w:bCs/>
          <w:sz w:val="22"/>
          <w:szCs w:val="14"/>
        </w:rPr>
        <w:t>(80</w:t>
      </w:r>
      <w:r w:rsidRPr="00E8707D">
        <w:rPr>
          <w:rFonts w:ascii="Arial" w:hAnsi="Arial" w:cs="Arial"/>
          <w:b/>
          <w:bCs/>
          <w:sz w:val="22"/>
          <w:szCs w:val="14"/>
        </w:rPr>
        <w:t>%),</w:t>
      </w:r>
      <w:r w:rsidRPr="00E8707D">
        <w:rPr>
          <w:rFonts w:ascii="Arial" w:hAnsi="Arial" w:cs="Arial"/>
          <w:sz w:val="22"/>
          <w:szCs w:val="14"/>
        </w:rPr>
        <w:t xml:space="preserve"> la Eficiencia </w:t>
      </w:r>
      <w:r w:rsidR="004720DC" w:rsidRPr="00E8707D">
        <w:rPr>
          <w:rFonts w:ascii="Arial" w:hAnsi="Arial" w:cs="Arial"/>
          <w:b/>
          <w:bCs/>
          <w:sz w:val="22"/>
          <w:szCs w:val="14"/>
        </w:rPr>
        <w:t>(99</w:t>
      </w:r>
      <w:r w:rsidRPr="00E8707D">
        <w:rPr>
          <w:rFonts w:ascii="Arial" w:hAnsi="Arial" w:cs="Arial"/>
          <w:b/>
          <w:bCs/>
          <w:sz w:val="22"/>
          <w:szCs w:val="14"/>
        </w:rPr>
        <w:t>%)</w:t>
      </w:r>
      <w:r w:rsidRPr="00E8707D">
        <w:rPr>
          <w:rFonts w:ascii="Arial" w:hAnsi="Arial" w:cs="Arial"/>
          <w:sz w:val="22"/>
          <w:szCs w:val="14"/>
        </w:rPr>
        <w:t xml:space="preserve"> y la Efectividad </w:t>
      </w:r>
      <w:r w:rsidR="004720DC" w:rsidRPr="00E8707D">
        <w:rPr>
          <w:rFonts w:ascii="Arial" w:hAnsi="Arial" w:cs="Arial"/>
          <w:b/>
          <w:bCs/>
          <w:sz w:val="22"/>
          <w:szCs w:val="14"/>
        </w:rPr>
        <w:t>(99</w:t>
      </w:r>
      <w:r w:rsidRPr="00E8707D">
        <w:rPr>
          <w:rFonts w:ascii="Arial" w:hAnsi="Arial" w:cs="Arial"/>
          <w:b/>
          <w:bCs/>
          <w:sz w:val="22"/>
          <w:szCs w:val="14"/>
        </w:rPr>
        <w:t>%)</w:t>
      </w:r>
      <w:r w:rsidRPr="00E8707D">
        <w:rPr>
          <w:rFonts w:ascii="Arial" w:hAnsi="Arial" w:cs="Arial"/>
          <w:sz w:val="22"/>
          <w:szCs w:val="14"/>
        </w:rPr>
        <w:t xml:space="preserve"> del Idesan en el segundo Semestre se encuentran en un rango Excelente.</w:t>
      </w:r>
    </w:p>
    <w:p w:rsidR="00DF3AA7" w:rsidRPr="00E8707D" w:rsidRDefault="00DF3AA7" w:rsidP="00DF3AA7">
      <w:pPr>
        <w:tabs>
          <w:tab w:val="left" w:pos="360"/>
        </w:tabs>
        <w:jc w:val="both"/>
        <w:rPr>
          <w:rFonts w:ascii="Arial" w:hAnsi="Arial" w:cs="Arial"/>
          <w:sz w:val="22"/>
          <w:szCs w:val="14"/>
        </w:rPr>
      </w:pPr>
    </w:p>
    <w:p w:rsidR="00DF3AA7" w:rsidRDefault="00DF3AA7" w:rsidP="00DF3AA7">
      <w:pPr>
        <w:tabs>
          <w:tab w:val="left" w:pos="360"/>
        </w:tabs>
        <w:jc w:val="both"/>
        <w:rPr>
          <w:rFonts w:ascii="Arial" w:hAnsi="Arial" w:cs="Arial"/>
          <w:b/>
          <w:bCs/>
          <w:sz w:val="22"/>
          <w:szCs w:val="14"/>
        </w:rPr>
      </w:pPr>
      <w:r w:rsidRPr="00E8707D">
        <w:rPr>
          <w:rFonts w:ascii="Arial" w:hAnsi="Arial" w:cs="Arial"/>
          <w:b/>
          <w:bCs/>
          <w:sz w:val="22"/>
          <w:szCs w:val="14"/>
        </w:rPr>
        <w:t>CUMPLIMIENTO CON INFORMES A ENTES EXTERNOS.</w:t>
      </w:r>
    </w:p>
    <w:p w:rsidR="005857AA" w:rsidRPr="00E8707D" w:rsidRDefault="005857AA" w:rsidP="00DF3AA7">
      <w:pPr>
        <w:tabs>
          <w:tab w:val="left" w:pos="360"/>
        </w:tabs>
        <w:jc w:val="both"/>
        <w:rPr>
          <w:rFonts w:ascii="Arial" w:hAnsi="Arial" w:cs="Arial"/>
          <w:b/>
          <w:bCs/>
          <w:sz w:val="22"/>
          <w:szCs w:val="14"/>
        </w:rPr>
      </w:pPr>
    </w:p>
    <w:p w:rsidR="00DF3AA7" w:rsidRPr="00AF3E0E" w:rsidRDefault="00DD68EB" w:rsidP="005857AA">
      <w:pPr>
        <w:tabs>
          <w:tab w:val="left" w:pos="360"/>
        </w:tabs>
        <w:jc w:val="center"/>
        <w:rPr>
          <w:rFonts w:ascii="Arial" w:hAnsi="Arial" w:cs="Arial"/>
          <w:b/>
          <w:bCs/>
          <w:sz w:val="16"/>
          <w:szCs w:val="14"/>
        </w:rPr>
      </w:pPr>
      <w:r>
        <w:rPr>
          <w:noProof/>
        </w:rPr>
        <w:drawing>
          <wp:inline distT="0" distB="0" distL="0" distR="0">
            <wp:extent cx="4351161" cy="3241222"/>
            <wp:effectExtent l="19050" t="0" r="11289" b="16328"/>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F3AA7" w:rsidRPr="00AF3E0E" w:rsidRDefault="00DF3AA7" w:rsidP="00DF3AA7">
      <w:pPr>
        <w:tabs>
          <w:tab w:val="left" w:pos="360"/>
        </w:tabs>
        <w:jc w:val="both"/>
        <w:rPr>
          <w:rFonts w:ascii="Arial" w:hAnsi="Arial" w:cs="Arial"/>
          <w:sz w:val="16"/>
          <w:szCs w:val="14"/>
        </w:rPr>
      </w:pPr>
    </w:p>
    <w:p w:rsidR="00DF3AA7" w:rsidRPr="005857AA" w:rsidRDefault="00DF3AA7" w:rsidP="00DF3AA7">
      <w:pPr>
        <w:tabs>
          <w:tab w:val="left" w:pos="360"/>
        </w:tabs>
        <w:jc w:val="both"/>
        <w:rPr>
          <w:rFonts w:ascii="Arial" w:hAnsi="Arial" w:cs="Arial"/>
          <w:sz w:val="22"/>
          <w:szCs w:val="22"/>
        </w:rPr>
      </w:pPr>
      <w:r w:rsidRPr="005857AA">
        <w:rPr>
          <w:rFonts w:ascii="Arial" w:hAnsi="Arial" w:cs="Arial"/>
          <w:sz w:val="22"/>
          <w:szCs w:val="22"/>
        </w:rPr>
        <w:t>Duran</w:t>
      </w:r>
      <w:r w:rsidR="00DD68EB" w:rsidRPr="005857AA">
        <w:rPr>
          <w:rFonts w:ascii="Arial" w:hAnsi="Arial" w:cs="Arial"/>
          <w:sz w:val="22"/>
          <w:szCs w:val="22"/>
        </w:rPr>
        <w:t xml:space="preserve">te el segundo semestre del  2014 </w:t>
      </w:r>
      <w:r w:rsidRPr="005857AA">
        <w:rPr>
          <w:rFonts w:ascii="Arial" w:hAnsi="Arial" w:cs="Arial"/>
          <w:sz w:val="22"/>
          <w:szCs w:val="22"/>
        </w:rPr>
        <w:t>se cumplieron con los diferentes informes solicitados por los diferentes entes externos de control.</w:t>
      </w:r>
    </w:p>
    <w:p w:rsidR="00DF3AA7" w:rsidRPr="005857AA" w:rsidRDefault="00DF3AA7" w:rsidP="00DF3AA7">
      <w:pPr>
        <w:tabs>
          <w:tab w:val="left" w:pos="360"/>
        </w:tabs>
        <w:jc w:val="both"/>
        <w:rPr>
          <w:rFonts w:ascii="Arial" w:hAnsi="Arial" w:cs="Arial"/>
          <w:sz w:val="22"/>
          <w:szCs w:val="22"/>
        </w:rPr>
      </w:pPr>
    </w:p>
    <w:p w:rsidR="00DF3AA7" w:rsidRPr="005857AA" w:rsidRDefault="00DF3AA7" w:rsidP="00DF3AA7">
      <w:pPr>
        <w:tabs>
          <w:tab w:val="left" w:pos="360"/>
        </w:tabs>
        <w:jc w:val="both"/>
        <w:rPr>
          <w:rFonts w:ascii="Arial" w:hAnsi="Arial" w:cs="Arial"/>
          <w:bCs/>
          <w:sz w:val="22"/>
          <w:szCs w:val="22"/>
        </w:rPr>
      </w:pPr>
      <w:r w:rsidRPr="005857AA">
        <w:rPr>
          <w:rFonts w:ascii="Arial" w:hAnsi="Arial" w:cs="Arial"/>
          <w:bCs/>
          <w:sz w:val="22"/>
          <w:szCs w:val="22"/>
        </w:rPr>
        <w:t>Para mejor análisis e ilustración se anexan los indicadores de gestión del proceso a esta acta.</w:t>
      </w:r>
    </w:p>
    <w:p w:rsidR="004720DC" w:rsidRPr="005857AA" w:rsidRDefault="004720DC" w:rsidP="00DF3AA7">
      <w:pPr>
        <w:tabs>
          <w:tab w:val="left" w:pos="360"/>
        </w:tabs>
        <w:jc w:val="both"/>
        <w:rPr>
          <w:rFonts w:ascii="Arial" w:hAnsi="Arial" w:cs="Arial"/>
          <w:bCs/>
          <w:sz w:val="22"/>
          <w:szCs w:val="22"/>
        </w:rPr>
      </w:pPr>
    </w:p>
    <w:p w:rsidR="004720DC" w:rsidRPr="005857AA" w:rsidRDefault="004720DC" w:rsidP="004720DC">
      <w:pPr>
        <w:rPr>
          <w:rFonts w:ascii="Arial" w:hAnsi="Arial" w:cs="Arial"/>
          <w:b/>
          <w:bCs/>
          <w:color w:val="008000"/>
          <w:sz w:val="22"/>
          <w:szCs w:val="22"/>
        </w:rPr>
      </w:pPr>
      <w:r w:rsidRPr="005857AA">
        <w:rPr>
          <w:rFonts w:ascii="Arial" w:hAnsi="Arial" w:cs="Arial"/>
          <w:b/>
          <w:bCs/>
          <w:color w:val="008000"/>
          <w:sz w:val="22"/>
          <w:szCs w:val="22"/>
        </w:rPr>
        <w:t>5. RESULTADOS AUDITORIAS</w:t>
      </w:r>
    </w:p>
    <w:p w:rsidR="004720DC" w:rsidRPr="005857AA" w:rsidRDefault="004720DC" w:rsidP="00DF3AA7">
      <w:pPr>
        <w:tabs>
          <w:tab w:val="left" w:pos="360"/>
        </w:tabs>
        <w:jc w:val="both"/>
        <w:rPr>
          <w:rFonts w:ascii="Arial" w:hAnsi="Arial" w:cs="Arial"/>
          <w:sz w:val="22"/>
          <w:szCs w:val="22"/>
        </w:rPr>
      </w:pPr>
    </w:p>
    <w:p w:rsidR="004720DC" w:rsidRPr="005857AA" w:rsidRDefault="004720DC" w:rsidP="004720DC">
      <w:pPr>
        <w:pStyle w:val="Encabezado"/>
        <w:tabs>
          <w:tab w:val="clear" w:pos="4252"/>
          <w:tab w:val="clear" w:pos="8504"/>
        </w:tabs>
        <w:rPr>
          <w:rFonts w:ascii="Arial" w:hAnsi="Arial" w:cs="Arial"/>
          <w:sz w:val="22"/>
          <w:szCs w:val="22"/>
        </w:rPr>
      </w:pPr>
      <w:r w:rsidRPr="005857AA">
        <w:rPr>
          <w:rFonts w:ascii="Arial" w:hAnsi="Arial" w:cs="Arial"/>
          <w:sz w:val="22"/>
          <w:szCs w:val="22"/>
        </w:rPr>
        <w:t>CALIDAD:</w:t>
      </w:r>
    </w:p>
    <w:p w:rsidR="004720DC" w:rsidRPr="005857AA" w:rsidRDefault="004720DC" w:rsidP="004720DC">
      <w:pPr>
        <w:pStyle w:val="Encabezado"/>
        <w:tabs>
          <w:tab w:val="clear" w:pos="4252"/>
          <w:tab w:val="clear" w:pos="8504"/>
        </w:tabs>
        <w:rPr>
          <w:rFonts w:ascii="Arial" w:hAnsi="Arial" w:cs="Arial"/>
          <w:sz w:val="22"/>
          <w:szCs w:val="22"/>
        </w:rPr>
      </w:pPr>
      <w:r w:rsidRPr="005857AA">
        <w:rPr>
          <w:rFonts w:ascii="Arial" w:hAnsi="Arial" w:cs="Arial"/>
          <w:sz w:val="22"/>
          <w:szCs w:val="22"/>
        </w:rPr>
        <w:t>En la Auditoría Interna al Sistema de Gestión de Calidad, se evidencio que se esta teniendo un  seguimiento al cronograma de Actividades del proceso de calidad, adicionalmente se esta haciendo seguimiento al plan de mejoramiento de la Auditoria del ICONTEC del año 2014, ya que se encuentra el avance de las acciones abiertas, se evidencia la organización en el manejo del registro y control de documentos, las versiones actualizadas en el listado maestro de documentos y la lista de distribución en cada proceso.</w:t>
      </w:r>
    </w:p>
    <w:p w:rsidR="004720DC" w:rsidRPr="005857AA" w:rsidRDefault="004720DC" w:rsidP="004720DC">
      <w:pPr>
        <w:pStyle w:val="Encabezado"/>
        <w:tabs>
          <w:tab w:val="clear" w:pos="4252"/>
          <w:tab w:val="clear" w:pos="8504"/>
        </w:tabs>
        <w:rPr>
          <w:rFonts w:ascii="Arial Narrow" w:hAnsi="Arial Narrow" w:cs="Arial"/>
          <w:sz w:val="22"/>
          <w:szCs w:val="22"/>
        </w:rPr>
      </w:pPr>
    </w:p>
    <w:p w:rsidR="004720DC" w:rsidRPr="005857AA" w:rsidRDefault="004720DC" w:rsidP="004720DC">
      <w:pPr>
        <w:pStyle w:val="Encabezado"/>
        <w:tabs>
          <w:tab w:val="clear" w:pos="4252"/>
          <w:tab w:val="clear" w:pos="8504"/>
        </w:tabs>
        <w:rPr>
          <w:rFonts w:ascii="Arial" w:hAnsi="Arial" w:cs="Arial"/>
          <w:sz w:val="22"/>
          <w:szCs w:val="22"/>
        </w:rPr>
      </w:pPr>
      <w:r w:rsidRPr="005857AA">
        <w:rPr>
          <w:rFonts w:ascii="Arial" w:hAnsi="Arial" w:cs="Arial"/>
          <w:sz w:val="22"/>
          <w:szCs w:val="22"/>
        </w:rPr>
        <w:t>CONTROL INTERNO</w:t>
      </w:r>
    </w:p>
    <w:p w:rsidR="004720DC" w:rsidRPr="005857AA" w:rsidRDefault="004720DC" w:rsidP="004720DC">
      <w:pPr>
        <w:pStyle w:val="Encabezado"/>
        <w:spacing w:after="240"/>
        <w:jc w:val="both"/>
        <w:rPr>
          <w:rFonts w:ascii="Arial" w:hAnsi="Arial" w:cs="Arial"/>
          <w:sz w:val="22"/>
          <w:szCs w:val="22"/>
        </w:rPr>
      </w:pPr>
      <w:r w:rsidRPr="005857AA">
        <w:rPr>
          <w:rFonts w:ascii="Arial" w:hAnsi="Arial" w:cs="Arial"/>
          <w:sz w:val="22"/>
          <w:szCs w:val="22"/>
        </w:rPr>
        <w:t>Se deben tener en cuenta las siguientes recomendaciones: Hacer el reporte y seguimiento de los Riesgos del Instituto, actualizar la matriz de riesgo, Adicionalmente se debe hacer el seguimiento del Cronograma de Actividades y Auditorias del Programa de Control Interno del 2015.</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 xml:space="preserve">CARTERA </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Se debe estar haciendo un continuo mejoramiento en el proceso, esto se evidencia por la falta de actualización en los procedimientos, formatos, Riesgos y  caracterizaciones del proceso de cartera.</w:t>
      </w:r>
    </w:p>
    <w:p w:rsidR="004720DC" w:rsidRPr="005857AA" w:rsidRDefault="004720DC" w:rsidP="004720DC">
      <w:pPr>
        <w:pStyle w:val="Encabezado"/>
        <w:tabs>
          <w:tab w:val="clear" w:pos="4252"/>
          <w:tab w:val="clear" w:pos="8504"/>
        </w:tabs>
        <w:jc w:val="both"/>
        <w:rPr>
          <w:rFonts w:ascii="Arial" w:hAnsi="Arial" w:cs="Arial"/>
          <w:sz w:val="22"/>
          <w:szCs w:val="22"/>
          <w:lang w:val="es-ES_tradnl"/>
        </w:rPr>
      </w:pP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CONTABILIDAD</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La Gestión de Contabilidad debe registrar el seguimiento al Cronograma de actividades del año ya que se está ejecutando el cronograma pero no se registra una actualización de este si se ejecuto o no, adicionalmente, se debe actualizar el proceso en cuanto a las actividades de la caracterización, los indicadores de gestión, los riesgos y controles y los procedimientos.</w:t>
      </w:r>
    </w:p>
    <w:p w:rsidR="004720DC" w:rsidRPr="005857AA" w:rsidRDefault="004720DC" w:rsidP="004720DC">
      <w:pPr>
        <w:pStyle w:val="Encabezado"/>
        <w:tabs>
          <w:tab w:val="clear" w:pos="4252"/>
          <w:tab w:val="clear" w:pos="8504"/>
        </w:tabs>
        <w:jc w:val="both"/>
        <w:rPr>
          <w:rFonts w:ascii="Arial" w:hAnsi="Arial" w:cs="Arial"/>
          <w:sz w:val="22"/>
          <w:szCs w:val="22"/>
        </w:rPr>
      </w:pP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CONVENIOS</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El proceso deben estar en un continuo mejoramiento de todas las actividades a cargo del proceso, es así como se evidencia la desactualización en el procedimiento, caracterización, revaluación de los controles y riesgos, y la actualización en indicadores de gestión.</w:t>
      </w:r>
    </w:p>
    <w:p w:rsidR="004720DC" w:rsidRPr="005857AA" w:rsidRDefault="004720DC" w:rsidP="004720DC">
      <w:pPr>
        <w:pStyle w:val="Encabezado"/>
        <w:tabs>
          <w:tab w:val="clear" w:pos="4252"/>
          <w:tab w:val="clear" w:pos="8504"/>
        </w:tabs>
        <w:jc w:val="both"/>
        <w:rPr>
          <w:rFonts w:ascii="Arial" w:hAnsi="Arial" w:cs="Arial"/>
          <w:sz w:val="22"/>
          <w:szCs w:val="22"/>
          <w:lang w:val="es-ES_tradnl"/>
        </w:rPr>
      </w:pPr>
    </w:p>
    <w:p w:rsidR="004720DC" w:rsidRPr="005857AA" w:rsidRDefault="004720DC" w:rsidP="004720DC">
      <w:pPr>
        <w:pStyle w:val="Encabezado"/>
        <w:tabs>
          <w:tab w:val="clear" w:pos="4252"/>
          <w:tab w:val="clear" w:pos="8504"/>
        </w:tabs>
        <w:jc w:val="both"/>
        <w:rPr>
          <w:rFonts w:ascii="Arial" w:hAnsi="Arial" w:cs="Arial"/>
          <w:sz w:val="22"/>
          <w:szCs w:val="22"/>
          <w:lang w:val="es-ES_tradnl"/>
        </w:rPr>
      </w:pPr>
      <w:r w:rsidRPr="005857AA">
        <w:rPr>
          <w:rFonts w:ascii="Arial" w:hAnsi="Arial" w:cs="Arial"/>
          <w:sz w:val="22"/>
          <w:szCs w:val="22"/>
          <w:lang w:val="es-ES_tradnl"/>
        </w:rPr>
        <w:t>CREDITOS</w:t>
      </w:r>
    </w:p>
    <w:p w:rsidR="004720DC" w:rsidRPr="005857AA" w:rsidRDefault="004720DC" w:rsidP="004720DC">
      <w:pPr>
        <w:pStyle w:val="Encabezado"/>
        <w:tabs>
          <w:tab w:val="clear" w:pos="4252"/>
          <w:tab w:val="clear" w:pos="8504"/>
        </w:tabs>
        <w:jc w:val="both"/>
        <w:rPr>
          <w:rFonts w:ascii="Arial" w:hAnsi="Arial" w:cs="Arial"/>
          <w:sz w:val="22"/>
          <w:szCs w:val="22"/>
          <w:lang w:val="es-ES_tradnl"/>
        </w:rPr>
      </w:pPr>
      <w:r w:rsidRPr="005857AA">
        <w:rPr>
          <w:rFonts w:ascii="Arial" w:hAnsi="Arial" w:cs="Arial"/>
          <w:sz w:val="22"/>
          <w:szCs w:val="22"/>
          <w:lang w:val="es-ES_tradnl"/>
        </w:rPr>
        <w:t>Es necesario Actualizar y formalizar los documentos que hacen parte de la línea de créditos de Corto Plazo, ya que es una línea que se encuentra dentro del portafolio pero no está estandarizada, adicionalmente se necesita actualizar la Caracterización, los Controles y Riesgos, los Formatos de créditos, los indicadores de Gestión y Los procedimientos.</w:t>
      </w:r>
    </w:p>
    <w:p w:rsidR="004720DC" w:rsidRPr="005857AA" w:rsidRDefault="004720DC" w:rsidP="004720DC">
      <w:pPr>
        <w:pStyle w:val="Encabezado"/>
        <w:tabs>
          <w:tab w:val="clear" w:pos="4252"/>
          <w:tab w:val="clear" w:pos="8504"/>
        </w:tabs>
        <w:jc w:val="both"/>
        <w:rPr>
          <w:rFonts w:ascii="Arial" w:hAnsi="Arial" w:cs="Arial"/>
          <w:sz w:val="22"/>
          <w:szCs w:val="22"/>
          <w:lang w:val="es-ES_tradnl"/>
        </w:rPr>
      </w:pPr>
    </w:p>
    <w:p w:rsidR="004720DC" w:rsidRPr="005857AA" w:rsidRDefault="004720DC" w:rsidP="004720DC">
      <w:pPr>
        <w:pStyle w:val="Encabezado"/>
        <w:tabs>
          <w:tab w:val="clear" w:pos="4252"/>
          <w:tab w:val="clear" w:pos="8504"/>
        </w:tabs>
        <w:jc w:val="both"/>
        <w:rPr>
          <w:rFonts w:ascii="Arial" w:hAnsi="Arial" w:cs="Arial"/>
          <w:sz w:val="22"/>
          <w:szCs w:val="22"/>
          <w:lang w:val="es-ES_tradnl"/>
        </w:rPr>
      </w:pPr>
      <w:r w:rsidRPr="005857AA">
        <w:rPr>
          <w:rFonts w:ascii="Arial" w:hAnsi="Arial" w:cs="Arial"/>
          <w:sz w:val="22"/>
          <w:szCs w:val="22"/>
          <w:lang w:val="es-ES_tradnl"/>
        </w:rPr>
        <w:t>COMERCIAL</w:t>
      </w:r>
      <w:r w:rsidRPr="005857AA">
        <w:rPr>
          <w:rFonts w:ascii="Arial" w:hAnsi="Arial" w:cs="Arial"/>
          <w:sz w:val="22"/>
          <w:szCs w:val="22"/>
          <w:lang w:val="es-ES_tradnl"/>
        </w:rPr>
        <w:tab/>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lang w:val="es-ES_tradnl"/>
        </w:rPr>
        <w:t xml:space="preserve">Se debe tener en cuenta la publicación de la programación de la Gestión comercial, </w:t>
      </w:r>
      <w:r w:rsidRPr="005857AA">
        <w:rPr>
          <w:rFonts w:ascii="Arial" w:hAnsi="Arial" w:cs="Arial"/>
          <w:sz w:val="22"/>
          <w:szCs w:val="22"/>
        </w:rPr>
        <w:t>Adicionalmente se debe estar haciendo un continuo mejoramiento en el proceso, esto se evidencia por la falta de actualización en los procedimientos, Controles, riesgos, formatos y caracterizaciones del proceso.</w:t>
      </w:r>
    </w:p>
    <w:p w:rsidR="004720DC" w:rsidRPr="005857AA" w:rsidRDefault="004720DC" w:rsidP="004720DC">
      <w:pPr>
        <w:pStyle w:val="Encabezado"/>
        <w:tabs>
          <w:tab w:val="clear" w:pos="4252"/>
          <w:tab w:val="clear" w:pos="8504"/>
        </w:tabs>
        <w:jc w:val="both"/>
        <w:rPr>
          <w:rFonts w:ascii="Arial" w:hAnsi="Arial" w:cs="Arial"/>
          <w:sz w:val="22"/>
          <w:szCs w:val="22"/>
        </w:rPr>
      </w:pP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ARCHIVO</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Crear un indicador que mida los tiempos de entrega en la solicitud de archivo, adicionalmente se debe realizar la actualización en los procedimientos, controles, riesgos, formatos y caracterizaciones del proceso.</w:t>
      </w:r>
    </w:p>
    <w:p w:rsidR="004720DC" w:rsidRPr="005857AA" w:rsidRDefault="004720DC" w:rsidP="004720DC">
      <w:pPr>
        <w:pStyle w:val="Encabezado"/>
        <w:tabs>
          <w:tab w:val="clear" w:pos="4252"/>
          <w:tab w:val="clear" w:pos="8504"/>
        </w:tabs>
        <w:jc w:val="both"/>
        <w:rPr>
          <w:rFonts w:ascii="Arial" w:hAnsi="Arial" w:cs="Arial"/>
          <w:sz w:val="22"/>
          <w:szCs w:val="22"/>
        </w:rPr>
      </w:pP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COMPRAS</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El área de Compras es la encargada de hacer el seguimiento al plan de adquisiciones y la ejecución de este, se evidencia que se lleva a cabo con la programación de las adquisiciones, El proceso debe ser mejorado constantemente en la revisión de sus procedimientos, formatos, caracterizaciones, controles y riesgos.</w:t>
      </w:r>
    </w:p>
    <w:p w:rsidR="004720DC" w:rsidRPr="005857AA" w:rsidRDefault="004720DC" w:rsidP="004720DC">
      <w:pPr>
        <w:pStyle w:val="Encabezado"/>
        <w:tabs>
          <w:tab w:val="clear" w:pos="4252"/>
          <w:tab w:val="clear" w:pos="8504"/>
        </w:tabs>
        <w:jc w:val="both"/>
        <w:rPr>
          <w:rFonts w:ascii="Arial" w:hAnsi="Arial" w:cs="Arial"/>
          <w:sz w:val="22"/>
          <w:szCs w:val="22"/>
        </w:rPr>
      </w:pP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GERENCIA</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 xml:space="preserve">La Gestión gerencial debe ser la encargada de proveer todos los recursos para el mejoramiento continuo, la ejecución del plan anual de adquisiciones se está llevando a cabo con lo programado, la gerencia además debe disponer de todos los insumos para el desarrollo de la misión por medio del cumplimiento de la política de calidad con el fin de satisfacer el servicio al cliente, es así como en esta auditoría se recomienda a la gerencia continuar con el compromiso para el mantenimiento del sistema de gestión de calidad. </w:t>
      </w:r>
    </w:p>
    <w:p w:rsidR="004720DC" w:rsidRPr="005857AA" w:rsidRDefault="004720DC" w:rsidP="004720DC">
      <w:pPr>
        <w:pStyle w:val="Encabezado"/>
        <w:tabs>
          <w:tab w:val="clear" w:pos="4252"/>
          <w:tab w:val="clear" w:pos="8504"/>
        </w:tabs>
        <w:jc w:val="both"/>
        <w:rPr>
          <w:rFonts w:ascii="Arial" w:hAnsi="Arial" w:cs="Arial"/>
          <w:sz w:val="22"/>
          <w:szCs w:val="22"/>
        </w:rPr>
      </w:pP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JURIDICA</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Se revisaron los expedientes de contratación y se evidencio que el proceso de contratación que se lleva a cabo en la oficina Jurídica debe mejorar prohibiendo la elaboración de documentos que hagan parte del expedientes de contratos en hojas reciclajes, adicionalmente, se debe realizar una hoja de control de los documentos (check list) para los requisitos de los contratos.</w:t>
      </w:r>
    </w:p>
    <w:p w:rsidR="004720DC" w:rsidRPr="005857AA" w:rsidRDefault="004720DC" w:rsidP="004720DC">
      <w:pPr>
        <w:pStyle w:val="Encabezado"/>
        <w:tabs>
          <w:tab w:val="clear" w:pos="4252"/>
          <w:tab w:val="clear" w:pos="8504"/>
        </w:tabs>
        <w:jc w:val="both"/>
        <w:rPr>
          <w:rFonts w:ascii="Arial" w:hAnsi="Arial" w:cs="Arial"/>
          <w:sz w:val="22"/>
          <w:szCs w:val="22"/>
        </w:rPr>
      </w:pP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CAPTACION Y COLOCACION</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Se debe estar haciendo un continuo mejoramiento en el proceso, la revaluación de los indicadores y la forma de medir estos debe ser consecuente con las actividades del proceso, así como las actividades que se realizan con la caracterización del proceso, es importante revaluar los procedimientos, indicadores, Riesgos y controles.</w:t>
      </w:r>
    </w:p>
    <w:p w:rsidR="004720DC" w:rsidRPr="005857AA" w:rsidRDefault="004720DC" w:rsidP="004720DC">
      <w:pPr>
        <w:pStyle w:val="Encabezado"/>
        <w:tabs>
          <w:tab w:val="clear" w:pos="4252"/>
          <w:tab w:val="clear" w:pos="8504"/>
        </w:tabs>
        <w:jc w:val="both"/>
        <w:rPr>
          <w:rFonts w:ascii="Arial" w:hAnsi="Arial" w:cs="Arial"/>
          <w:sz w:val="22"/>
          <w:szCs w:val="22"/>
        </w:rPr>
      </w:pP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RECURSOS HUMANOS</w:t>
      </w: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El Área de Recursos humanos debe ser la encargada de realizar el plan de capacitación de los empleados públicos del IDESAN, es así como en los primeros meses no se encuentra ejecutadas las capacitaciones planeada, y la actualización del proceso en la Caracterización, procedimientos, indicadores, controles y riesgos.</w:t>
      </w:r>
    </w:p>
    <w:p w:rsidR="004720DC" w:rsidRPr="005857AA" w:rsidRDefault="004720DC" w:rsidP="004720DC">
      <w:pPr>
        <w:pStyle w:val="Encabezado"/>
        <w:tabs>
          <w:tab w:val="clear" w:pos="4252"/>
          <w:tab w:val="clear" w:pos="8504"/>
        </w:tabs>
        <w:jc w:val="both"/>
        <w:rPr>
          <w:rFonts w:ascii="Arial" w:hAnsi="Arial" w:cs="Arial"/>
          <w:sz w:val="22"/>
          <w:szCs w:val="22"/>
        </w:rPr>
      </w:pPr>
    </w:p>
    <w:p w:rsidR="004720DC" w:rsidRPr="005857AA" w:rsidRDefault="004720DC" w:rsidP="004720DC">
      <w:pPr>
        <w:pStyle w:val="Encabezado"/>
        <w:tabs>
          <w:tab w:val="clear" w:pos="4252"/>
          <w:tab w:val="clear" w:pos="8504"/>
        </w:tabs>
        <w:jc w:val="both"/>
        <w:rPr>
          <w:rFonts w:ascii="Arial" w:hAnsi="Arial" w:cs="Arial"/>
          <w:sz w:val="22"/>
          <w:szCs w:val="22"/>
        </w:rPr>
      </w:pPr>
      <w:r w:rsidRPr="005857AA">
        <w:rPr>
          <w:rFonts w:ascii="Arial" w:hAnsi="Arial" w:cs="Arial"/>
          <w:sz w:val="22"/>
          <w:szCs w:val="22"/>
        </w:rPr>
        <w:t>SISTEMAS</w:t>
      </w:r>
    </w:p>
    <w:p w:rsidR="004720DC" w:rsidRPr="005857AA" w:rsidRDefault="004720DC" w:rsidP="004720DC">
      <w:pPr>
        <w:pStyle w:val="Encabezado"/>
        <w:tabs>
          <w:tab w:val="clear" w:pos="4252"/>
          <w:tab w:val="clear" w:pos="8504"/>
        </w:tabs>
        <w:rPr>
          <w:rFonts w:ascii="Arial Narrow" w:hAnsi="Arial Narrow" w:cs="Arial"/>
          <w:sz w:val="22"/>
          <w:szCs w:val="22"/>
        </w:rPr>
      </w:pPr>
      <w:r w:rsidRPr="005857AA">
        <w:rPr>
          <w:rFonts w:ascii="Arial" w:hAnsi="Arial" w:cs="Arial"/>
          <w:sz w:val="22"/>
          <w:szCs w:val="22"/>
        </w:rPr>
        <w:t>El área de Sistemas debe revaluar sus indicadores de gestión, la evidencia de la medición de estos indicadores no está siendo objetiva con lo que realmente se necesita medir, es importante que se tenga un plan de acción en la parte de sistemas, actualizar los procedimientos y eliminar los que ya no se llevan a cabo por la sistematización de los procesos, y realizar un plan de acción para los requisitos y requerimientos que tiene la Superintendencia Financiera de Colombia, se debe desmontar la plataforma del Sistema de Gestión de Calidad porque no es flexible para los funcionarios y no se adapta a los proceso del sistema.</w:t>
      </w:r>
    </w:p>
    <w:p w:rsidR="004720DC" w:rsidRPr="005857AA" w:rsidRDefault="004720DC" w:rsidP="00DF3AA7">
      <w:pPr>
        <w:tabs>
          <w:tab w:val="left" w:pos="360"/>
        </w:tabs>
        <w:jc w:val="both"/>
        <w:rPr>
          <w:rFonts w:ascii="Arial" w:hAnsi="Arial" w:cs="Arial"/>
          <w:sz w:val="22"/>
          <w:szCs w:val="22"/>
        </w:rPr>
      </w:pPr>
    </w:p>
    <w:p w:rsidR="004720DC" w:rsidRPr="005857AA" w:rsidRDefault="004720DC" w:rsidP="00DF3AA7">
      <w:pPr>
        <w:tabs>
          <w:tab w:val="left" w:pos="360"/>
        </w:tabs>
        <w:jc w:val="both"/>
        <w:rPr>
          <w:rFonts w:ascii="Arial" w:hAnsi="Arial" w:cs="Arial"/>
          <w:sz w:val="22"/>
          <w:szCs w:val="22"/>
        </w:rPr>
      </w:pPr>
    </w:p>
    <w:p w:rsidR="00162D81" w:rsidRPr="005857AA" w:rsidRDefault="00162D81" w:rsidP="004720DC">
      <w:pPr>
        <w:tabs>
          <w:tab w:val="left" w:pos="360"/>
        </w:tabs>
        <w:ind w:left="360"/>
        <w:jc w:val="both"/>
        <w:rPr>
          <w:rFonts w:ascii="Arial" w:hAnsi="Arial" w:cs="Arial"/>
          <w:b/>
          <w:bCs/>
          <w:color w:val="008000"/>
          <w:sz w:val="22"/>
          <w:szCs w:val="22"/>
        </w:rPr>
      </w:pPr>
    </w:p>
    <w:p w:rsidR="004720DC" w:rsidRPr="005857AA" w:rsidRDefault="004720DC" w:rsidP="004720DC">
      <w:pPr>
        <w:tabs>
          <w:tab w:val="left" w:pos="360"/>
        </w:tabs>
        <w:ind w:left="360"/>
        <w:jc w:val="both"/>
        <w:rPr>
          <w:rFonts w:ascii="Arial" w:hAnsi="Arial" w:cs="Arial"/>
          <w:b/>
          <w:bCs/>
          <w:color w:val="008000"/>
          <w:sz w:val="22"/>
          <w:szCs w:val="22"/>
        </w:rPr>
      </w:pPr>
      <w:r w:rsidRPr="005857AA">
        <w:rPr>
          <w:rFonts w:ascii="Arial" w:hAnsi="Arial" w:cs="Arial"/>
          <w:b/>
          <w:bCs/>
          <w:color w:val="008000"/>
          <w:sz w:val="22"/>
          <w:szCs w:val="22"/>
        </w:rPr>
        <w:t>6. ESTADO DE ACCIONES CORRECTIVAS Y PREVENTIVAS.</w:t>
      </w:r>
    </w:p>
    <w:p w:rsidR="004720DC" w:rsidRPr="005857AA" w:rsidRDefault="004720DC" w:rsidP="004720DC">
      <w:pPr>
        <w:tabs>
          <w:tab w:val="left" w:pos="360"/>
        </w:tabs>
        <w:ind w:left="360"/>
        <w:jc w:val="both"/>
        <w:rPr>
          <w:rFonts w:ascii="Arial" w:hAnsi="Arial" w:cs="Arial"/>
          <w:bCs/>
          <w:sz w:val="22"/>
          <w:szCs w:val="22"/>
        </w:rPr>
      </w:pPr>
    </w:p>
    <w:p w:rsidR="004720DC" w:rsidRPr="005857AA" w:rsidRDefault="004720DC" w:rsidP="004720DC">
      <w:pPr>
        <w:tabs>
          <w:tab w:val="left" w:pos="360"/>
        </w:tabs>
        <w:jc w:val="both"/>
        <w:rPr>
          <w:rFonts w:ascii="Arial" w:hAnsi="Arial" w:cs="Arial"/>
          <w:sz w:val="22"/>
          <w:szCs w:val="22"/>
        </w:rPr>
      </w:pPr>
    </w:p>
    <w:p w:rsidR="004720DC" w:rsidRPr="005857AA" w:rsidRDefault="004720DC" w:rsidP="004720DC">
      <w:pPr>
        <w:tabs>
          <w:tab w:val="left" w:pos="360"/>
        </w:tabs>
        <w:jc w:val="both"/>
        <w:rPr>
          <w:rFonts w:ascii="Arial" w:hAnsi="Arial" w:cs="Arial"/>
          <w:b/>
          <w:bCs/>
          <w:sz w:val="22"/>
          <w:szCs w:val="22"/>
        </w:rPr>
      </w:pPr>
      <w:r w:rsidRPr="005857AA">
        <w:rPr>
          <w:rFonts w:ascii="Arial" w:hAnsi="Arial" w:cs="Arial"/>
          <w:sz w:val="22"/>
          <w:szCs w:val="22"/>
        </w:rPr>
        <w:t xml:space="preserve">El porcentaje acumulado de cierre de acciones correctivas del S.G.C. es de </w:t>
      </w:r>
      <w:r w:rsidRPr="005857AA">
        <w:rPr>
          <w:rFonts w:ascii="Arial" w:hAnsi="Arial" w:cs="Arial"/>
          <w:b/>
          <w:bCs/>
          <w:sz w:val="22"/>
          <w:szCs w:val="22"/>
        </w:rPr>
        <w:t>92.5%.</w:t>
      </w:r>
    </w:p>
    <w:p w:rsidR="004720DC" w:rsidRPr="005857AA" w:rsidRDefault="004720DC" w:rsidP="004720DC">
      <w:pPr>
        <w:tabs>
          <w:tab w:val="left" w:pos="360"/>
        </w:tabs>
        <w:jc w:val="center"/>
        <w:rPr>
          <w:rFonts w:ascii="Arial" w:hAnsi="Arial" w:cs="Arial"/>
          <w:bCs/>
          <w:sz w:val="22"/>
          <w:szCs w:val="22"/>
        </w:rPr>
      </w:pPr>
    </w:p>
    <w:p w:rsidR="004720DC" w:rsidRPr="005857AA" w:rsidRDefault="004720DC" w:rsidP="004720DC">
      <w:pPr>
        <w:tabs>
          <w:tab w:val="left" w:pos="360"/>
        </w:tabs>
        <w:jc w:val="both"/>
        <w:rPr>
          <w:rFonts w:ascii="Arial" w:hAnsi="Arial" w:cs="Arial"/>
          <w:b/>
          <w:bCs/>
          <w:sz w:val="22"/>
          <w:szCs w:val="22"/>
        </w:rPr>
      </w:pPr>
      <w:r w:rsidRPr="005857AA">
        <w:rPr>
          <w:rFonts w:ascii="Arial" w:hAnsi="Arial" w:cs="Arial"/>
          <w:sz w:val="22"/>
          <w:szCs w:val="22"/>
        </w:rPr>
        <w:t xml:space="preserve">El porcentaje acumulado de cierre de acciones preventivas del S.G.C. es de </w:t>
      </w:r>
      <w:r w:rsidRPr="005857AA">
        <w:rPr>
          <w:rFonts w:ascii="Arial" w:hAnsi="Arial" w:cs="Arial"/>
          <w:b/>
          <w:bCs/>
          <w:sz w:val="22"/>
          <w:szCs w:val="22"/>
        </w:rPr>
        <w:t>83.1%.</w:t>
      </w:r>
    </w:p>
    <w:p w:rsidR="004720DC" w:rsidRPr="005857AA" w:rsidRDefault="004720DC" w:rsidP="004720DC">
      <w:pPr>
        <w:tabs>
          <w:tab w:val="left" w:pos="360"/>
        </w:tabs>
        <w:jc w:val="both"/>
        <w:rPr>
          <w:rFonts w:ascii="Arial" w:hAnsi="Arial" w:cs="Arial"/>
          <w:bCs/>
          <w:sz w:val="22"/>
          <w:szCs w:val="22"/>
        </w:rPr>
      </w:pPr>
    </w:p>
    <w:p w:rsidR="004720DC" w:rsidRPr="005857AA" w:rsidRDefault="004720DC" w:rsidP="004720DC">
      <w:pPr>
        <w:tabs>
          <w:tab w:val="left" w:pos="360"/>
        </w:tabs>
        <w:jc w:val="both"/>
        <w:rPr>
          <w:rFonts w:ascii="Arial" w:hAnsi="Arial" w:cs="Arial"/>
          <w:bCs/>
          <w:sz w:val="22"/>
          <w:szCs w:val="22"/>
        </w:rPr>
      </w:pPr>
      <w:r w:rsidRPr="005857AA">
        <w:rPr>
          <w:rFonts w:ascii="Arial" w:hAnsi="Arial" w:cs="Arial"/>
          <w:bCs/>
          <w:sz w:val="22"/>
          <w:szCs w:val="22"/>
        </w:rPr>
        <w:t>En los Indicadores de gestión de cada uno de los procesos se evidencia el cierre de acciones correctivas y preventivas de cada proceso.</w:t>
      </w:r>
    </w:p>
    <w:p w:rsidR="004720DC" w:rsidRPr="005857AA" w:rsidRDefault="004720DC" w:rsidP="004720DC">
      <w:pPr>
        <w:tabs>
          <w:tab w:val="left" w:pos="360"/>
        </w:tabs>
        <w:jc w:val="both"/>
        <w:rPr>
          <w:rFonts w:ascii="Arial" w:hAnsi="Arial" w:cs="Arial"/>
          <w:bCs/>
          <w:sz w:val="22"/>
          <w:szCs w:val="22"/>
        </w:rPr>
      </w:pPr>
    </w:p>
    <w:p w:rsidR="004720DC" w:rsidRPr="005857AA" w:rsidRDefault="004720DC" w:rsidP="004720DC">
      <w:pPr>
        <w:tabs>
          <w:tab w:val="left" w:pos="360"/>
        </w:tabs>
        <w:jc w:val="both"/>
        <w:rPr>
          <w:rFonts w:ascii="Arial" w:hAnsi="Arial" w:cs="Arial"/>
          <w:b/>
          <w:bCs/>
          <w:color w:val="008000"/>
          <w:sz w:val="22"/>
          <w:szCs w:val="22"/>
        </w:rPr>
      </w:pPr>
    </w:p>
    <w:p w:rsidR="004720DC" w:rsidRPr="005857AA" w:rsidRDefault="004720DC" w:rsidP="004720DC">
      <w:pPr>
        <w:tabs>
          <w:tab w:val="left" w:pos="360"/>
        </w:tabs>
        <w:jc w:val="both"/>
        <w:rPr>
          <w:rFonts w:ascii="Arial" w:hAnsi="Arial" w:cs="Arial"/>
          <w:color w:val="008000"/>
          <w:sz w:val="22"/>
          <w:szCs w:val="22"/>
        </w:rPr>
      </w:pPr>
      <w:r w:rsidRPr="005857AA">
        <w:rPr>
          <w:rFonts w:ascii="Arial" w:hAnsi="Arial" w:cs="Arial"/>
          <w:b/>
          <w:bCs/>
          <w:color w:val="008000"/>
          <w:sz w:val="22"/>
          <w:szCs w:val="22"/>
        </w:rPr>
        <w:t>7.    ACCIONES DE SEGUIMIENTO DE REVISIONES PREVIAS EFECTUADAS</w:t>
      </w:r>
      <w:r w:rsidRPr="005857AA">
        <w:rPr>
          <w:rFonts w:ascii="Arial" w:hAnsi="Arial" w:cs="Arial"/>
          <w:color w:val="008000"/>
          <w:sz w:val="22"/>
          <w:szCs w:val="22"/>
        </w:rPr>
        <w:t>.</w:t>
      </w:r>
    </w:p>
    <w:p w:rsidR="004720DC" w:rsidRPr="005857AA" w:rsidRDefault="004720DC" w:rsidP="004720DC">
      <w:pPr>
        <w:tabs>
          <w:tab w:val="left" w:pos="360"/>
        </w:tabs>
        <w:jc w:val="both"/>
        <w:rPr>
          <w:rFonts w:ascii="Arial" w:hAnsi="Arial" w:cs="Arial"/>
          <w:color w:val="008000"/>
          <w:sz w:val="22"/>
          <w:szCs w:val="22"/>
        </w:rPr>
      </w:pPr>
    </w:p>
    <w:p w:rsidR="004720DC" w:rsidRPr="005857AA" w:rsidRDefault="004720DC" w:rsidP="004720DC">
      <w:pPr>
        <w:tabs>
          <w:tab w:val="left" w:pos="360"/>
        </w:tabs>
        <w:jc w:val="both"/>
        <w:rPr>
          <w:rFonts w:ascii="Arial" w:hAnsi="Arial" w:cs="Arial"/>
          <w:sz w:val="22"/>
          <w:szCs w:val="22"/>
        </w:rPr>
      </w:pPr>
      <w:r w:rsidRPr="005857AA">
        <w:rPr>
          <w:rFonts w:ascii="Arial" w:hAnsi="Arial" w:cs="Arial"/>
          <w:sz w:val="22"/>
          <w:szCs w:val="22"/>
        </w:rPr>
        <w:t xml:space="preserve">En los correspondientes planes de Mejoramiento de los procesos y de la entidad ante la contraloría se reflejan el cumplimiento y avance de las actividades para la mejora continua del Sistema de Gestión de Calidad y Control Interno MECI del Instituto. </w:t>
      </w:r>
    </w:p>
    <w:p w:rsidR="004720DC" w:rsidRPr="005857AA" w:rsidRDefault="004720DC" w:rsidP="004720DC">
      <w:pPr>
        <w:tabs>
          <w:tab w:val="left" w:pos="360"/>
        </w:tabs>
        <w:jc w:val="both"/>
        <w:rPr>
          <w:rFonts w:ascii="Arial" w:hAnsi="Arial" w:cs="Arial"/>
          <w:b/>
          <w:bCs/>
          <w:color w:val="008000"/>
          <w:sz w:val="22"/>
          <w:szCs w:val="22"/>
        </w:rPr>
      </w:pPr>
    </w:p>
    <w:p w:rsidR="004720DC" w:rsidRPr="005857AA" w:rsidRDefault="004720DC" w:rsidP="004720DC">
      <w:pPr>
        <w:tabs>
          <w:tab w:val="left" w:pos="360"/>
        </w:tabs>
        <w:jc w:val="both"/>
        <w:rPr>
          <w:rFonts w:ascii="Arial" w:hAnsi="Arial" w:cs="Arial"/>
          <w:b/>
          <w:bCs/>
          <w:color w:val="008000"/>
          <w:sz w:val="22"/>
          <w:szCs w:val="22"/>
        </w:rPr>
      </w:pPr>
    </w:p>
    <w:p w:rsidR="004720DC" w:rsidRPr="005857AA" w:rsidRDefault="004720DC" w:rsidP="004720DC">
      <w:pPr>
        <w:tabs>
          <w:tab w:val="left" w:pos="360"/>
        </w:tabs>
        <w:jc w:val="both"/>
        <w:rPr>
          <w:rFonts w:ascii="Arial" w:hAnsi="Arial" w:cs="Arial"/>
          <w:b/>
          <w:bCs/>
          <w:color w:val="008000"/>
          <w:sz w:val="22"/>
          <w:szCs w:val="22"/>
        </w:rPr>
      </w:pPr>
      <w:r w:rsidRPr="005857AA">
        <w:rPr>
          <w:rFonts w:ascii="Arial" w:hAnsi="Arial" w:cs="Arial"/>
          <w:b/>
          <w:bCs/>
          <w:color w:val="008000"/>
          <w:sz w:val="22"/>
          <w:szCs w:val="22"/>
        </w:rPr>
        <w:t>8. CAMBIOS QUE PODRÍAN AFECTAR AL SISTEMA DE GESTION DE LA CALIDAD</w:t>
      </w:r>
    </w:p>
    <w:p w:rsidR="004720DC" w:rsidRPr="005857AA" w:rsidRDefault="004720DC" w:rsidP="004720DC">
      <w:pPr>
        <w:tabs>
          <w:tab w:val="left" w:pos="360"/>
        </w:tabs>
        <w:jc w:val="both"/>
        <w:rPr>
          <w:rFonts w:ascii="Arial" w:hAnsi="Arial" w:cs="Arial"/>
          <w:sz w:val="22"/>
          <w:szCs w:val="22"/>
        </w:rPr>
      </w:pPr>
    </w:p>
    <w:p w:rsidR="004720DC" w:rsidRPr="005857AA" w:rsidRDefault="004720DC" w:rsidP="004720DC">
      <w:pPr>
        <w:numPr>
          <w:ilvl w:val="0"/>
          <w:numId w:val="9"/>
        </w:numPr>
        <w:tabs>
          <w:tab w:val="clear" w:pos="720"/>
        </w:tabs>
        <w:ind w:left="0" w:firstLine="0"/>
        <w:rPr>
          <w:rFonts w:ascii="Arial" w:hAnsi="Arial" w:cs="Arial"/>
          <w:sz w:val="22"/>
          <w:szCs w:val="22"/>
        </w:rPr>
      </w:pPr>
      <w:r w:rsidRPr="005857AA">
        <w:rPr>
          <w:rFonts w:ascii="Arial" w:hAnsi="Arial" w:cs="Arial"/>
          <w:sz w:val="22"/>
          <w:szCs w:val="22"/>
        </w:rPr>
        <w:t>La Supervisión por parte de la Superintendencia Financiera de Colombia como entre de control</w:t>
      </w:r>
    </w:p>
    <w:p w:rsidR="004720DC" w:rsidRPr="005857AA" w:rsidRDefault="004720DC" w:rsidP="004720DC">
      <w:pPr>
        <w:numPr>
          <w:ilvl w:val="0"/>
          <w:numId w:val="9"/>
        </w:numPr>
        <w:tabs>
          <w:tab w:val="clear" w:pos="720"/>
        </w:tabs>
        <w:ind w:left="0" w:firstLine="0"/>
        <w:rPr>
          <w:rFonts w:ascii="Arial" w:hAnsi="Arial" w:cs="Arial"/>
          <w:sz w:val="22"/>
          <w:szCs w:val="22"/>
        </w:rPr>
      </w:pPr>
      <w:r w:rsidRPr="005857AA">
        <w:rPr>
          <w:rFonts w:ascii="Arial" w:hAnsi="Arial" w:cs="Arial"/>
          <w:sz w:val="22"/>
          <w:szCs w:val="22"/>
        </w:rPr>
        <w:t>El Cambio de la Baja Calificación de Riesgo Crediticio que tiene la Entidad.</w:t>
      </w:r>
    </w:p>
    <w:p w:rsidR="004720DC" w:rsidRPr="005857AA" w:rsidRDefault="004720DC" w:rsidP="004720DC">
      <w:pPr>
        <w:rPr>
          <w:rFonts w:ascii="Arial" w:hAnsi="Arial" w:cs="Arial"/>
          <w:sz w:val="22"/>
          <w:szCs w:val="22"/>
        </w:rPr>
      </w:pPr>
    </w:p>
    <w:p w:rsidR="004720DC" w:rsidRPr="005857AA" w:rsidRDefault="004720DC" w:rsidP="004720DC">
      <w:pPr>
        <w:tabs>
          <w:tab w:val="left" w:pos="360"/>
        </w:tabs>
        <w:jc w:val="both"/>
        <w:rPr>
          <w:rFonts w:ascii="Arial" w:hAnsi="Arial" w:cs="Arial"/>
          <w:b/>
          <w:bCs/>
          <w:color w:val="008000"/>
          <w:sz w:val="22"/>
          <w:szCs w:val="22"/>
        </w:rPr>
      </w:pPr>
      <w:r w:rsidRPr="005857AA">
        <w:rPr>
          <w:rFonts w:ascii="Arial" w:hAnsi="Arial" w:cs="Arial"/>
          <w:b/>
          <w:bCs/>
          <w:color w:val="008000"/>
          <w:sz w:val="22"/>
          <w:szCs w:val="22"/>
        </w:rPr>
        <w:t>9. RECOMENDACIONES PARA LA MEJORA.</w:t>
      </w:r>
    </w:p>
    <w:p w:rsidR="004720DC" w:rsidRPr="005857AA" w:rsidRDefault="004720DC" w:rsidP="004720DC">
      <w:pPr>
        <w:tabs>
          <w:tab w:val="left" w:pos="360"/>
        </w:tabs>
        <w:jc w:val="both"/>
        <w:rPr>
          <w:rFonts w:ascii="Arial" w:hAnsi="Arial" w:cs="Arial"/>
          <w:sz w:val="22"/>
          <w:szCs w:val="22"/>
        </w:rPr>
      </w:pPr>
    </w:p>
    <w:p w:rsidR="004720DC" w:rsidRPr="005857AA" w:rsidRDefault="004720DC" w:rsidP="004720DC">
      <w:pPr>
        <w:jc w:val="both"/>
        <w:rPr>
          <w:rFonts w:ascii="Arial" w:hAnsi="Arial" w:cs="Arial"/>
          <w:sz w:val="22"/>
          <w:szCs w:val="22"/>
        </w:rPr>
      </w:pPr>
      <w:r w:rsidRPr="005857AA">
        <w:rPr>
          <w:rFonts w:ascii="Arial" w:hAnsi="Arial" w:cs="Arial"/>
          <w:sz w:val="22"/>
          <w:szCs w:val="22"/>
        </w:rPr>
        <w:t>Desde la Revisión por la Dirección, se proponen las siguientes acciones de mejoramiento para la  eficacia del S.G.C.</w:t>
      </w:r>
    </w:p>
    <w:p w:rsidR="004720DC" w:rsidRPr="005857AA" w:rsidRDefault="004720DC" w:rsidP="004720DC">
      <w:pPr>
        <w:jc w:val="both"/>
        <w:rPr>
          <w:rFonts w:ascii="Arial" w:hAnsi="Arial" w:cs="Arial"/>
          <w:sz w:val="22"/>
          <w:szCs w:val="22"/>
        </w:rPr>
      </w:pPr>
    </w:p>
    <w:p w:rsidR="004720DC" w:rsidRPr="005857AA" w:rsidRDefault="004720DC" w:rsidP="004720DC">
      <w:pPr>
        <w:rPr>
          <w:rFonts w:ascii="Arial" w:hAnsi="Arial" w:cs="Arial"/>
          <w:b/>
          <w:snapToGrid w:val="0"/>
          <w:sz w:val="22"/>
          <w:szCs w:val="22"/>
          <w:lang w:eastAsia="en-US"/>
        </w:rPr>
      </w:pPr>
      <w:r w:rsidRPr="005857AA">
        <w:rPr>
          <w:rFonts w:ascii="Arial" w:hAnsi="Arial" w:cs="Arial"/>
          <w:b/>
          <w:snapToGrid w:val="0"/>
          <w:sz w:val="22"/>
          <w:szCs w:val="22"/>
          <w:lang w:eastAsia="en-US"/>
        </w:rPr>
        <w:t>Actividades de mejora  – responsables y necesidad de recursos.</w:t>
      </w:r>
    </w:p>
    <w:p w:rsidR="004720DC" w:rsidRPr="005857AA" w:rsidRDefault="004720DC" w:rsidP="004720DC">
      <w:pPr>
        <w:rPr>
          <w:rFonts w:ascii="Arial" w:hAnsi="Arial" w:cs="Arial"/>
          <w:b/>
          <w:snapToGrid w:val="0"/>
          <w:color w:val="FF0000"/>
          <w:sz w:val="22"/>
          <w:szCs w:val="22"/>
          <w:lang w:eastAsia="en-US"/>
        </w:rPr>
      </w:pPr>
    </w:p>
    <w:p w:rsidR="004720DC" w:rsidRPr="005857AA" w:rsidRDefault="004720DC" w:rsidP="004720DC">
      <w:pPr>
        <w:jc w:val="both"/>
        <w:rPr>
          <w:rFonts w:ascii="Arial" w:hAnsi="Arial" w:cs="Arial"/>
          <w:sz w:val="22"/>
          <w:szCs w:val="22"/>
        </w:rPr>
      </w:pPr>
      <w:r w:rsidRPr="005857AA">
        <w:rPr>
          <w:rFonts w:ascii="Arial" w:hAnsi="Arial" w:cs="Arial"/>
          <w:sz w:val="22"/>
          <w:szCs w:val="22"/>
        </w:rPr>
        <w:t>Áreas de preocupación para el futuro.</w:t>
      </w:r>
    </w:p>
    <w:p w:rsidR="004720DC" w:rsidRPr="005857AA" w:rsidRDefault="004720DC" w:rsidP="004720DC">
      <w:pPr>
        <w:ind w:left="567"/>
        <w:jc w:val="both"/>
        <w:rPr>
          <w:rFonts w:ascii="Arial" w:hAnsi="Arial" w:cs="Arial"/>
          <w:sz w:val="22"/>
          <w:szCs w:val="22"/>
        </w:rPr>
      </w:pPr>
    </w:p>
    <w:p w:rsidR="004720DC" w:rsidRPr="005857AA" w:rsidRDefault="004720DC" w:rsidP="004720DC">
      <w:pPr>
        <w:pStyle w:val="Prrafodelista"/>
        <w:ind w:left="1287"/>
        <w:jc w:val="both"/>
        <w:rPr>
          <w:rFonts w:ascii="Arial" w:hAnsi="Arial" w:cs="Arial"/>
          <w:sz w:val="22"/>
          <w:szCs w:val="22"/>
        </w:rPr>
      </w:pPr>
    </w:p>
    <w:p w:rsidR="004720DC" w:rsidRPr="005857AA" w:rsidRDefault="004720DC" w:rsidP="004720DC">
      <w:pPr>
        <w:numPr>
          <w:ilvl w:val="0"/>
          <w:numId w:val="10"/>
        </w:numPr>
        <w:jc w:val="both"/>
        <w:rPr>
          <w:rFonts w:ascii="Arial" w:hAnsi="Arial" w:cs="Arial"/>
          <w:sz w:val="22"/>
          <w:szCs w:val="22"/>
        </w:rPr>
      </w:pPr>
      <w:r w:rsidRPr="005857AA">
        <w:rPr>
          <w:rFonts w:ascii="Arial" w:hAnsi="Arial" w:cs="Arial"/>
          <w:b/>
          <w:sz w:val="22"/>
          <w:szCs w:val="22"/>
        </w:rPr>
        <w:t>Adquisición de cableado de red</w:t>
      </w:r>
    </w:p>
    <w:p w:rsidR="004720DC" w:rsidRPr="005857AA" w:rsidRDefault="004720DC" w:rsidP="004720DC">
      <w:pPr>
        <w:pStyle w:val="Prrafodelista"/>
        <w:ind w:left="1287"/>
        <w:jc w:val="both"/>
        <w:rPr>
          <w:rFonts w:ascii="Arial" w:hAnsi="Arial" w:cs="Arial"/>
          <w:sz w:val="22"/>
          <w:szCs w:val="22"/>
        </w:rPr>
      </w:pPr>
      <w:r w:rsidRPr="005857AA">
        <w:rPr>
          <w:rFonts w:ascii="Arial" w:hAnsi="Arial" w:cs="Arial"/>
          <w:sz w:val="22"/>
          <w:szCs w:val="22"/>
        </w:rPr>
        <w:t>El Gerente del instituto encarga a la Dra Claudia hermandez para que realice los estudios de la adquisición de cables de red, adicionalmente el cambio de la plataforma telefónica pro telefonía IP, esto con el fin de ser más competitivos en el mercado, y lograr la satisfacción de los clientes.</w:t>
      </w:r>
    </w:p>
    <w:p w:rsidR="004720DC" w:rsidRPr="005857AA" w:rsidRDefault="004720DC" w:rsidP="004720DC">
      <w:pPr>
        <w:numPr>
          <w:ilvl w:val="0"/>
          <w:numId w:val="10"/>
        </w:numPr>
        <w:jc w:val="both"/>
        <w:rPr>
          <w:rFonts w:ascii="Arial" w:hAnsi="Arial" w:cs="Arial"/>
          <w:sz w:val="22"/>
          <w:szCs w:val="22"/>
        </w:rPr>
      </w:pPr>
      <w:r w:rsidRPr="005857AA">
        <w:rPr>
          <w:rFonts w:ascii="Arial" w:hAnsi="Arial" w:cs="Arial"/>
          <w:b/>
          <w:sz w:val="22"/>
          <w:szCs w:val="22"/>
        </w:rPr>
        <w:t>Solicitud de reunión con el Gobernador</w:t>
      </w:r>
    </w:p>
    <w:p w:rsidR="004720DC" w:rsidRPr="005857AA" w:rsidRDefault="004720DC" w:rsidP="004720DC">
      <w:pPr>
        <w:ind w:left="1287"/>
        <w:jc w:val="both"/>
        <w:rPr>
          <w:rFonts w:ascii="Arial" w:hAnsi="Arial" w:cs="Arial"/>
          <w:sz w:val="22"/>
          <w:szCs w:val="22"/>
        </w:rPr>
      </w:pPr>
      <w:r w:rsidRPr="005857AA">
        <w:rPr>
          <w:rFonts w:ascii="Arial" w:hAnsi="Arial" w:cs="Arial"/>
          <w:sz w:val="22"/>
          <w:szCs w:val="22"/>
        </w:rPr>
        <w:t>Los funcionarios piden al Gerente agenda una reunión con el señor gobernador con el fin de hablar sobre la situación de los convenios que tiene el instituto con la gobernación de Santander, además de las próximas negociaciones que van a tener estas dos entidades en cuestión de Convenios, además de hacer un plan de acción para enfrentar la situación de las bajas tasas en el mercado y así generar mayor rentabilidad.</w:t>
      </w:r>
    </w:p>
    <w:p w:rsidR="004720DC" w:rsidRPr="005857AA" w:rsidRDefault="004720DC" w:rsidP="004720DC">
      <w:pPr>
        <w:numPr>
          <w:ilvl w:val="0"/>
          <w:numId w:val="10"/>
        </w:numPr>
        <w:jc w:val="both"/>
        <w:rPr>
          <w:rFonts w:ascii="Arial" w:hAnsi="Arial" w:cs="Arial"/>
          <w:sz w:val="22"/>
          <w:szCs w:val="22"/>
        </w:rPr>
      </w:pPr>
      <w:r w:rsidRPr="005857AA">
        <w:rPr>
          <w:rFonts w:ascii="Arial" w:hAnsi="Arial" w:cs="Arial"/>
          <w:b/>
          <w:sz w:val="22"/>
          <w:szCs w:val="22"/>
        </w:rPr>
        <w:t>Capacitación sobre las NIIF</w:t>
      </w:r>
    </w:p>
    <w:p w:rsidR="004720DC" w:rsidRPr="005857AA" w:rsidRDefault="004720DC" w:rsidP="004720DC">
      <w:pPr>
        <w:ind w:left="1287"/>
        <w:jc w:val="both"/>
        <w:rPr>
          <w:rFonts w:ascii="Arial" w:hAnsi="Arial" w:cs="Arial"/>
          <w:sz w:val="22"/>
          <w:szCs w:val="22"/>
        </w:rPr>
      </w:pPr>
      <w:r w:rsidRPr="005857AA">
        <w:rPr>
          <w:rFonts w:ascii="Arial" w:hAnsi="Arial" w:cs="Arial"/>
          <w:sz w:val="22"/>
          <w:szCs w:val="22"/>
        </w:rPr>
        <w:t>Los funcionarios piden al Gerente solicitar capacitación en las Normas internacionales de Informacion Financiera, con el fin de llegar al año 2016 con los conocimeintos para el reporte de la información.</w:t>
      </w:r>
    </w:p>
    <w:p w:rsidR="004720DC" w:rsidRPr="005857AA" w:rsidRDefault="004720DC" w:rsidP="004720DC">
      <w:pPr>
        <w:ind w:left="1287"/>
        <w:jc w:val="both"/>
        <w:rPr>
          <w:rFonts w:ascii="Arial" w:hAnsi="Arial" w:cs="Arial"/>
          <w:sz w:val="22"/>
          <w:szCs w:val="22"/>
        </w:rPr>
      </w:pPr>
    </w:p>
    <w:p w:rsidR="004720DC" w:rsidRPr="005857AA" w:rsidRDefault="004720DC" w:rsidP="004720DC">
      <w:pPr>
        <w:ind w:left="1287"/>
        <w:jc w:val="both"/>
        <w:rPr>
          <w:rFonts w:ascii="Arial" w:hAnsi="Arial" w:cs="Arial"/>
          <w:sz w:val="22"/>
          <w:szCs w:val="22"/>
        </w:rPr>
      </w:pPr>
    </w:p>
    <w:p w:rsidR="004720DC" w:rsidRPr="005857AA" w:rsidRDefault="004720DC" w:rsidP="004720DC">
      <w:pPr>
        <w:jc w:val="both"/>
        <w:rPr>
          <w:rFonts w:ascii="Arial" w:hAnsi="Arial" w:cs="Arial"/>
          <w:b/>
          <w:sz w:val="22"/>
          <w:szCs w:val="22"/>
        </w:rPr>
      </w:pPr>
    </w:p>
    <w:p w:rsidR="004720DC" w:rsidRPr="005857AA" w:rsidRDefault="004720DC" w:rsidP="004720DC">
      <w:pPr>
        <w:jc w:val="both"/>
        <w:rPr>
          <w:rFonts w:ascii="Arial" w:hAnsi="Arial" w:cs="Arial"/>
          <w:b/>
          <w:sz w:val="22"/>
          <w:szCs w:val="22"/>
        </w:rPr>
      </w:pPr>
    </w:p>
    <w:p w:rsidR="004720DC" w:rsidRPr="005857AA" w:rsidRDefault="004720DC" w:rsidP="004720DC">
      <w:pPr>
        <w:jc w:val="both"/>
        <w:rPr>
          <w:rFonts w:ascii="Arial" w:hAnsi="Arial" w:cs="Arial"/>
          <w:sz w:val="22"/>
          <w:szCs w:val="22"/>
        </w:rPr>
      </w:pPr>
      <w:r w:rsidRPr="005857AA">
        <w:rPr>
          <w:rFonts w:ascii="Arial" w:hAnsi="Arial" w:cs="Arial"/>
          <w:b/>
          <w:sz w:val="22"/>
          <w:szCs w:val="22"/>
        </w:rPr>
        <w:t>Nota:</w:t>
      </w:r>
      <w:r w:rsidRPr="005857AA">
        <w:rPr>
          <w:rFonts w:ascii="Arial" w:hAnsi="Arial" w:cs="Arial"/>
          <w:sz w:val="22"/>
          <w:szCs w:val="22"/>
        </w:rPr>
        <w:t xml:space="preserve">   Los recurso necesarios para implementar las mejoras propuestas en esta acta y el plan de mejoramiento general de la entidad en función del Mantenimiento y mejora del S.G.C, el logro de sus objetivos y el cumplimiento del plan de acción de la entidad se encuentran reflejados en el presupuesto detallado para el plan de acción, el presupuesto de la entidad y complementado por el plan de compras de la entidad.</w:t>
      </w:r>
    </w:p>
    <w:p w:rsidR="004720DC" w:rsidRPr="005857AA" w:rsidRDefault="004720DC" w:rsidP="004720DC">
      <w:pPr>
        <w:rPr>
          <w:rFonts w:ascii="Arial" w:hAnsi="Arial" w:cs="Arial"/>
          <w:sz w:val="22"/>
          <w:szCs w:val="22"/>
        </w:rPr>
      </w:pPr>
    </w:p>
    <w:p w:rsidR="004720DC" w:rsidRPr="005857AA" w:rsidRDefault="004720DC" w:rsidP="004720DC">
      <w:pPr>
        <w:rPr>
          <w:rFonts w:ascii="Arial" w:eastAsia="Calibri" w:hAnsi="Arial" w:cs="Arial"/>
          <w:b/>
          <w:bCs/>
          <w:color w:val="008000"/>
          <w:sz w:val="22"/>
          <w:szCs w:val="22"/>
          <w:lang w:val="es-CO" w:eastAsia="en-US"/>
        </w:rPr>
      </w:pPr>
    </w:p>
    <w:p w:rsidR="004720DC" w:rsidRPr="005857AA" w:rsidRDefault="004720DC" w:rsidP="004720DC">
      <w:pPr>
        <w:tabs>
          <w:tab w:val="left" w:pos="360"/>
        </w:tabs>
        <w:jc w:val="both"/>
        <w:rPr>
          <w:rFonts w:ascii="Arial" w:hAnsi="Arial" w:cs="Arial"/>
          <w:b/>
          <w:bCs/>
          <w:color w:val="008000"/>
          <w:sz w:val="22"/>
          <w:szCs w:val="22"/>
        </w:rPr>
      </w:pPr>
      <w:r w:rsidRPr="005857AA">
        <w:rPr>
          <w:rFonts w:ascii="Arial" w:hAnsi="Arial" w:cs="Arial"/>
          <w:b/>
          <w:bCs/>
          <w:color w:val="008000"/>
          <w:sz w:val="22"/>
          <w:szCs w:val="22"/>
        </w:rPr>
        <w:t>10. RIESGOS ACTUALIZADOS E IDENTIFICADOS PARA LA ENTIDAD.</w:t>
      </w:r>
    </w:p>
    <w:p w:rsidR="004720DC" w:rsidRPr="005857AA" w:rsidRDefault="004720DC" w:rsidP="004720DC">
      <w:pPr>
        <w:tabs>
          <w:tab w:val="left" w:pos="360"/>
        </w:tabs>
        <w:jc w:val="both"/>
        <w:rPr>
          <w:rFonts w:ascii="Arial" w:hAnsi="Arial" w:cs="Arial"/>
          <w:b/>
          <w:bCs/>
          <w:sz w:val="22"/>
          <w:szCs w:val="22"/>
        </w:rPr>
      </w:pPr>
    </w:p>
    <w:p w:rsidR="004720DC" w:rsidRPr="005857AA" w:rsidRDefault="004720DC" w:rsidP="004720DC">
      <w:pPr>
        <w:pStyle w:val="Textoindependiente"/>
        <w:rPr>
          <w:sz w:val="22"/>
          <w:szCs w:val="22"/>
        </w:rPr>
      </w:pPr>
      <w:r w:rsidRPr="005857AA">
        <w:rPr>
          <w:sz w:val="22"/>
          <w:szCs w:val="22"/>
        </w:rPr>
        <w:t>Calificados los riegos identificados en el Mapa de Riesgos de la entidad se pudo apreciar que este valor general es de 2440 puntos ubicándose en promedio como Riesgo Moderado en general.</w:t>
      </w:r>
    </w:p>
    <w:p w:rsidR="004720DC" w:rsidRDefault="004720DC" w:rsidP="004720DC">
      <w:pPr>
        <w:pStyle w:val="Textoindependiente"/>
      </w:pPr>
    </w:p>
    <w:p w:rsidR="004720DC" w:rsidRDefault="004720DC" w:rsidP="004720DC">
      <w:pPr>
        <w:pStyle w:val="Textoindependiente"/>
      </w:pPr>
    </w:p>
    <w:p w:rsidR="004720DC" w:rsidRPr="00602029" w:rsidRDefault="00C47719" w:rsidP="004720DC">
      <w:pPr>
        <w:tabs>
          <w:tab w:val="left" w:pos="360"/>
        </w:tabs>
        <w:jc w:val="center"/>
        <w:rPr>
          <w:rFonts w:ascii="Arial" w:hAnsi="Arial" w:cs="Arial"/>
          <w:sz w:val="16"/>
          <w:szCs w:val="14"/>
        </w:rPr>
      </w:pPr>
      <w:r>
        <w:rPr>
          <w:noProof/>
        </w:rPr>
        <w:drawing>
          <wp:inline distT="0" distB="0" distL="0" distR="0">
            <wp:extent cx="5398602" cy="2631056"/>
            <wp:effectExtent l="19050" t="0" r="11598" b="16894"/>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720DC" w:rsidRPr="005857AA" w:rsidRDefault="004720DC" w:rsidP="004720DC">
      <w:pPr>
        <w:tabs>
          <w:tab w:val="left" w:pos="360"/>
        </w:tabs>
        <w:jc w:val="both"/>
        <w:rPr>
          <w:rFonts w:ascii="Arial" w:hAnsi="Arial" w:cs="Arial"/>
          <w:sz w:val="22"/>
          <w:szCs w:val="22"/>
        </w:rPr>
      </w:pPr>
    </w:p>
    <w:p w:rsidR="004720DC" w:rsidRPr="005857AA" w:rsidRDefault="004720DC" w:rsidP="004720DC">
      <w:pPr>
        <w:tabs>
          <w:tab w:val="left" w:pos="360"/>
        </w:tabs>
        <w:jc w:val="both"/>
        <w:rPr>
          <w:rFonts w:ascii="Arial" w:hAnsi="Arial" w:cs="Arial"/>
          <w:sz w:val="22"/>
          <w:szCs w:val="22"/>
        </w:rPr>
      </w:pPr>
    </w:p>
    <w:p w:rsidR="004720DC" w:rsidRPr="005857AA" w:rsidRDefault="004720DC" w:rsidP="004720DC">
      <w:pPr>
        <w:tabs>
          <w:tab w:val="left" w:pos="360"/>
        </w:tabs>
        <w:jc w:val="both"/>
        <w:rPr>
          <w:rFonts w:ascii="Arial" w:hAnsi="Arial" w:cs="Arial"/>
          <w:sz w:val="22"/>
          <w:szCs w:val="22"/>
        </w:rPr>
      </w:pPr>
      <w:r w:rsidRPr="005857AA">
        <w:rPr>
          <w:rFonts w:ascii="Arial" w:hAnsi="Arial" w:cs="Arial"/>
          <w:sz w:val="22"/>
          <w:szCs w:val="22"/>
        </w:rPr>
        <w:t>P</w:t>
      </w:r>
      <w:r w:rsidR="00C47719" w:rsidRPr="005857AA">
        <w:rPr>
          <w:rFonts w:ascii="Arial" w:hAnsi="Arial" w:cs="Arial"/>
          <w:sz w:val="22"/>
          <w:szCs w:val="22"/>
        </w:rPr>
        <w:t>ara el Segundo Semestre del 2014</w:t>
      </w:r>
      <w:r w:rsidRPr="005857AA">
        <w:rPr>
          <w:rFonts w:ascii="Arial" w:hAnsi="Arial" w:cs="Arial"/>
          <w:sz w:val="22"/>
          <w:szCs w:val="22"/>
        </w:rPr>
        <w:t xml:space="preserve">  se aumenta NPR: Numero de prioridad de Riesgo general de 1065, Manteniéndose en el rango general de Riesgo Moderado para el IDESAN.</w:t>
      </w:r>
    </w:p>
    <w:p w:rsidR="004720DC" w:rsidRPr="005857AA" w:rsidRDefault="004720DC" w:rsidP="004720DC">
      <w:pPr>
        <w:tabs>
          <w:tab w:val="left" w:pos="360"/>
        </w:tabs>
        <w:jc w:val="both"/>
        <w:rPr>
          <w:rFonts w:ascii="Arial" w:hAnsi="Arial" w:cs="Arial"/>
          <w:sz w:val="22"/>
          <w:szCs w:val="22"/>
        </w:rPr>
      </w:pPr>
    </w:p>
    <w:p w:rsidR="004720DC" w:rsidRPr="005857AA" w:rsidRDefault="004720DC" w:rsidP="004720DC">
      <w:pPr>
        <w:tabs>
          <w:tab w:val="left" w:pos="360"/>
        </w:tabs>
        <w:jc w:val="both"/>
        <w:rPr>
          <w:rFonts w:ascii="Arial" w:hAnsi="Arial" w:cs="Arial"/>
          <w:sz w:val="22"/>
          <w:szCs w:val="22"/>
        </w:rPr>
      </w:pPr>
      <w:r w:rsidRPr="005857AA">
        <w:rPr>
          <w:rFonts w:ascii="Arial" w:hAnsi="Arial" w:cs="Arial"/>
          <w:sz w:val="22"/>
          <w:szCs w:val="22"/>
        </w:rPr>
        <w:t>Se realizo seguimiento al mapa de riesgos y sus correspondientes acciones preventivas, se realizara  VALORACION GENERAL de los riegos de acuerdo a nuevos controles definido y/o implementados en las acciones preventivas realizadas</w:t>
      </w:r>
    </w:p>
    <w:p w:rsidR="004720DC" w:rsidRPr="005857AA" w:rsidRDefault="004720DC" w:rsidP="004720DC">
      <w:pPr>
        <w:tabs>
          <w:tab w:val="left" w:pos="360"/>
        </w:tabs>
        <w:jc w:val="both"/>
        <w:rPr>
          <w:rFonts w:ascii="Arial" w:hAnsi="Arial" w:cs="Arial"/>
          <w:b/>
          <w:bCs/>
          <w:sz w:val="22"/>
          <w:szCs w:val="22"/>
        </w:rPr>
      </w:pPr>
    </w:p>
    <w:p w:rsidR="004720DC" w:rsidRPr="005857AA" w:rsidRDefault="004720DC" w:rsidP="004720DC">
      <w:pPr>
        <w:pStyle w:val="Textoindependiente"/>
        <w:rPr>
          <w:sz w:val="22"/>
          <w:szCs w:val="22"/>
        </w:rPr>
      </w:pPr>
      <w:r w:rsidRPr="005857AA">
        <w:rPr>
          <w:sz w:val="22"/>
          <w:szCs w:val="22"/>
        </w:rPr>
        <w:t>Una vez identificados, analizados y calificados los riesgos se clasificaron según la siguiente grafica.</w:t>
      </w:r>
    </w:p>
    <w:p w:rsidR="004720DC" w:rsidRPr="005857AA" w:rsidRDefault="004720DC" w:rsidP="004720DC">
      <w:pPr>
        <w:tabs>
          <w:tab w:val="left" w:pos="360"/>
        </w:tabs>
        <w:jc w:val="both"/>
        <w:rPr>
          <w:rFonts w:ascii="Arial" w:hAnsi="Arial" w:cs="Arial"/>
          <w:b/>
          <w:bCs/>
          <w:sz w:val="22"/>
          <w:szCs w:val="22"/>
        </w:rPr>
      </w:pPr>
    </w:p>
    <w:p w:rsidR="004720DC" w:rsidRPr="005857AA" w:rsidRDefault="004720DC" w:rsidP="004720DC">
      <w:pPr>
        <w:tabs>
          <w:tab w:val="left" w:pos="360"/>
        </w:tabs>
        <w:jc w:val="both"/>
        <w:rPr>
          <w:rFonts w:ascii="Arial" w:hAnsi="Arial" w:cs="Arial"/>
          <w:b/>
          <w:bCs/>
          <w:sz w:val="22"/>
          <w:szCs w:val="22"/>
        </w:rPr>
      </w:pPr>
    </w:p>
    <w:p w:rsidR="004720DC" w:rsidRPr="004B094A" w:rsidRDefault="00C47719" w:rsidP="004720DC">
      <w:pPr>
        <w:tabs>
          <w:tab w:val="left" w:pos="360"/>
        </w:tabs>
        <w:jc w:val="center"/>
        <w:rPr>
          <w:rFonts w:ascii="Arial" w:hAnsi="Arial" w:cs="Arial"/>
          <w:b/>
          <w:bCs/>
          <w:sz w:val="16"/>
          <w:szCs w:val="14"/>
        </w:rPr>
      </w:pPr>
      <w:r>
        <w:rPr>
          <w:noProof/>
        </w:rPr>
        <w:drawing>
          <wp:inline distT="0" distB="0" distL="0" distR="0">
            <wp:extent cx="4368800" cy="3073400"/>
            <wp:effectExtent l="0" t="0" r="25400" b="2540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720DC" w:rsidRDefault="004720DC" w:rsidP="004720DC">
      <w:pPr>
        <w:tabs>
          <w:tab w:val="left" w:pos="360"/>
        </w:tabs>
        <w:jc w:val="both"/>
        <w:rPr>
          <w:rFonts w:ascii="Arial" w:hAnsi="Arial" w:cs="Arial"/>
          <w:b/>
          <w:bCs/>
          <w:sz w:val="16"/>
          <w:szCs w:val="14"/>
        </w:rPr>
      </w:pPr>
    </w:p>
    <w:p w:rsidR="004720DC" w:rsidRDefault="004720DC" w:rsidP="004720DC">
      <w:pPr>
        <w:tabs>
          <w:tab w:val="left" w:pos="360"/>
        </w:tabs>
        <w:jc w:val="center"/>
        <w:rPr>
          <w:rFonts w:ascii="Arial" w:hAnsi="Arial" w:cs="Arial"/>
          <w:b/>
          <w:bCs/>
          <w:sz w:val="16"/>
          <w:szCs w:val="14"/>
        </w:rPr>
      </w:pPr>
    </w:p>
    <w:p w:rsidR="004720DC" w:rsidRDefault="00C47719" w:rsidP="004720DC">
      <w:pPr>
        <w:tabs>
          <w:tab w:val="left" w:pos="360"/>
        </w:tabs>
        <w:jc w:val="center"/>
        <w:rPr>
          <w:rFonts w:ascii="Arial" w:hAnsi="Arial" w:cs="Arial"/>
          <w:b/>
          <w:bCs/>
          <w:sz w:val="16"/>
          <w:szCs w:val="14"/>
        </w:rPr>
      </w:pPr>
      <w:r w:rsidRPr="00C47719">
        <w:rPr>
          <w:noProof/>
        </w:rPr>
        <w:drawing>
          <wp:inline distT="0" distB="0" distL="0" distR="0">
            <wp:extent cx="4990465" cy="1393190"/>
            <wp:effectExtent l="0" t="0" r="0" b="0"/>
            <wp:docPr id="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90465" cy="1393190"/>
                    </a:xfrm>
                    <a:prstGeom prst="rect">
                      <a:avLst/>
                    </a:prstGeom>
                    <a:noFill/>
                    <a:ln>
                      <a:noFill/>
                    </a:ln>
                  </pic:spPr>
                </pic:pic>
              </a:graphicData>
            </a:graphic>
          </wp:inline>
        </w:drawing>
      </w:r>
    </w:p>
    <w:p w:rsidR="004720DC" w:rsidRDefault="004720DC" w:rsidP="004720DC">
      <w:pPr>
        <w:tabs>
          <w:tab w:val="left" w:pos="360"/>
        </w:tabs>
        <w:jc w:val="center"/>
        <w:rPr>
          <w:rFonts w:ascii="Arial" w:hAnsi="Arial" w:cs="Arial"/>
          <w:b/>
          <w:bCs/>
          <w:sz w:val="16"/>
          <w:szCs w:val="14"/>
        </w:rPr>
      </w:pPr>
    </w:p>
    <w:p w:rsidR="004720DC" w:rsidRDefault="004720DC" w:rsidP="004720DC">
      <w:pPr>
        <w:tabs>
          <w:tab w:val="left" w:pos="360"/>
        </w:tabs>
        <w:jc w:val="both"/>
        <w:rPr>
          <w:rFonts w:ascii="Arial" w:hAnsi="Arial" w:cs="Arial"/>
          <w:b/>
          <w:bCs/>
          <w:sz w:val="16"/>
          <w:szCs w:val="14"/>
        </w:rPr>
      </w:pPr>
    </w:p>
    <w:p w:rsidR="004720DC" w:rsidRPr="005857AA" w:rsidRDefault="004720DC" w:rsidP="004720DC">
      <w:pPr>
        <w:pStyle w:val="Textoindependiente"/>
        <w:rPr>
          <w:sz w:val="22"/>
          <w:szCs w:val="22"/>
        </w:rPr>
      </w:pPr>
      <w:r w:rsidRPr="005857AA">
        <w:rPr>
          <w:sz w:val="22"/>
          <w:szCs w:val="22"/>
        </w:rPr>
        <w:t>Se puede observar que la mayoría de riesgos actualmente identificado en el instituto son riesgos moderados (42) , y que hay 6 riesgos considerado inaceptables.</w:t>
      </w:r>
    </w:p>
    <w:p w:rsidR="004720DC" w:rsidRPr="005857AA" w:rsidRDefault="004720DC" w:rsidP="004720DC">
      <w:pPr>
        <w:tabs>
          <w:tab w:val="left" w:pos="360"/>
        </w:tabs>
        <w:jc w:val="both"/>
        <w:rPr>
          <w:rFonts w:ascii="Arial" w:hAnsi="Arial" w:cs="Arial"/>
          <w:sz w:val="22"/>
          <w:szCs w:val="22"/>
        </w:rPr>
      </w:pPr>
    </w:p>
    <w:p w:rsidR="004720DC" w:rsidRPr="005857AA" w:rsidRDefault="004720DC" w:rsidP="004720DC">
      <w:pPr>
        <w:tabs>
          <w:tab w:val="left" w:pos="360"/>
        </w:tabs>
        <w:jc w:val="both"/>
        <w:rPr>
          <w:rFonts w:ascii="Arial" w:hAnsi="Arial" w:cs="Arial"/>
          <w:sz w:val="22"/>
          <w:szCs w:val="22"/>
        </w:rPr>
      </w:pPr>
      <w:r w:rsidRPr="005857AA">
        <w:rPr>
          <w:rFonts w:ascii="Arial" w:hAnsi="Arial" w:cs="Arial"/>
          <w:sz w:val="22"/>
          <w:szCs w:val="22"/>
        </w:rPr>
        <w:t>Para los riesgos identificados, una vez analizados y calificados se les definió sus opciones de manejo y su correspondiente tratamiento, el cual fue documentado y tramitado mediante acciones preventivas.</w:t>
      </w:r>
    </w:p>
    <w:p w:rsidR="004720DC" w:rsidRPr="005857AA" w:rsidRDefault="004720DC" w:rsidP="004720DC">
      <w:pPr>
        <w:tabs>
          <w:tab w:val="left" w:pos="360"/>
        </w:tabs>
        <w:jc w:val="both"/>
        <w:rPr>
          <w:rFonts w:ascii="Arial" w:hAnsi="Arial" w:cs="Arial"/>
          <w:sz w:val="22"/>
          <w:szCs w:val="22"/>
        </w:rPr>
      </w:pPr>
    </w:p>
    <w:p w:rsidR="004720DC" w:rsidRPr="005857AA" w:rsidRDefault="004720DC" w:rsidP="004720DC">
      <w:pPr>
        <w:pStyle w:val="Textoindependiente"/>
        <w:rPr>
          <w:sz w:val="22"/>
          <w:szCs w:val="22"/>
        </w:rPr>
      </w:pPr>
      <w:r w:rsidRPr="005857AA">
        <w:rPr>
          <w:sz w:val="22"/>
          <w:szCs w:val="22"/>
        </w:rPr>
        <w:t>Valorado el riesgo frente a sus controles y frente a la gestión realizada mediante las acciones preventivas implementadas se obtuvo el siguie</w:t>
      </w:r>
      <w:r w:rsidR="00C47719" w:rsidRPr="005857AA">
        <w:rPr>
          <w:sz w:val="22"/>
          <w:szCs w:val="22"/>
        </w:rPr>
        <w:t>nte resultado a Junio 30 de 2014</w:t>
      </w:r>
    </w:p>
    <w:p w:rsidR="004720DC" w:rsidRPr="005857AA" w:rsidRDefault="004720DC" w:rsidP="004720DC">
      <w:pPr>
        <w:tabs>
          <w:tab w:val="left" w:pos="360"/>
        </w:tabs>
        <w:jc w:val="center"/>
        <w:rPr>
          <w:sz w:val="22"/>
          <w:szCs w:val="22"/>
        </w:rPr>
      </w:pPr>
    </w:p>
    <w:p w:rsidR="004720DC" w:rsidRPr="00AA6094" w:rsidRDefault="00C47719" w:rsidP="004720DC">
      <w:pPr>
        <w:tabs>
          <w:tab w:val="left" w:pos="360"/>
        </w:tabs>
        <w:jc w:val="center"/>
      </w:pPr>
      <w:r>
        <w:rPr>
          <w:noProof/>
        </w:rPr>
        <w:drawing>
          <wp:inline distT="0" distB="0" distL="0" distR="0">
            <wp:extent cx="4432300" cy="3149600"/>
            <wp:effectExtent l="0" t="0" r="12700" b="2540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720DC" w:rsidRDefault="004720DC" w:rsidP="004720DC">
      <w:pPr>
        <w:tabs>
          <w:tab w:val="left" w:pos="360"/>
        </w:tabs>
        <w:jc w:val="center"/>
      </w:pPr>
    </w:p>
    <w:p w:rsidR="004720DC" w:rsidRDefault="00C47719" w:rsidP="004720DC">
      <w:pPr>
        <w:tabs>
          <w:tab w:val="left" w:pos="360"/>
        </w:tabs>
        <w:jc w:val="center"/>
      </w:pPr>
      <w:r w:rsidRPr="00C47719">
        <w:rPr>
          <w:noProof/>
        </w:rPr>
        <w:drawing>
          <wp:inline distT="0" distB="0" distL="0" distR="0">
            <wp:extent cx="2563495" cy="1393190"/>
            <wp:effectExtent l="0" t="0" r="0" b="0"/>
            <wp:docPr id="1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63495" cy="1393190"/>
                    </a:xfrm>
                    <a:prstGeom prst="rect">
                      <a:avLst/>
                    </a:prstGeom>
                    <a:noFill/>
                    <a:ln>
                      <a:noFill/>
                    </a:ln>
                  </pic:spPr>
                </pic:pic>
              </a:graphicData>
            </a:graphic>
          </wp:inline>
        </w:drawing>
      </w:r>
    </w:p>
    <w:p w:rsidR="004720DC" w:rsidRDefault="004720DC" w:rsidP="004720DC">
      <w:pPr>
        <w:tabs>
          <w:tab w:val="left" w:pos="360"/>
        </w:tabs>
        <w:jc w:val="center"/>
      </w:pPr>
    </w:p>
    <w:p w:rsidR="004720DC" w:rsidRPr="005857AA" w:rsidRDefault="004720DC" w:rsidP="004720DC">
      <w:pPr>
        <w:tabs>
          <w:tab w:val="left" w:pos="360"/>
        </w:tabs>
        <w:jc w:val="center"/>
        <w:rPr>
          <w:sz w:val="22"/>
          <w:szCs w:val="22"/>
        </w:rPr>
      </w:pPr>
    </w:p>
    <w:p w:rsidR="004720DC" w:rsidRPr="005857AA" w:rsidRDefault="004720DC" w:rsidP="004720DC">
      <w:pPr>
        <w:tabs>
          <w:tab w:val="left" w:pos="360"/>
        </w:tabs>
        <w:jc w:val="both"/>
        <w:rPr>
          <w:rFonts w:ascii="Arial" w:hAnsi="Arial" w:cs="Arial"/>
          <w:sz w:val="22"/>
          <w:szCs w:val="22"/>
        </w:rPr>
      </w:pPr>
      <w:r w:rsidRPr="005857AA">
        <w:rPr>
          <w:rFonts w:ascii="Arial" w:hAnsi="Arial" w:cs="Arial"/>
          <w:sz w:val="22"/>
          <w:szCs w:val="22"/>
        </w:rPr>
        <w:t xml:space="preserve">Una vez valorados los riesgos la mayoría de riesgos se convirtieron en riesgos tolerables (44), y no quedaron riesgos inaceptable, quedaron 4 riesgos importantes, sumada la calificación general de la valoración dio </w:t>
      </w:r>
      <w:r w:rsidRPr="005857AA">
        <w:rPr>
          <w:rFonts w:ascii="Arial" w:hAnsi="Arial" w:cs="Arial"/>
          <w:b/>
          <w:sz w:val="22"/>
          <w:szCs w:val="22"/>
        </w:rPr>
        <w:t>1065</w:t>
      </w:r>
      <w:r w:rsidRPr="005857AA">
        <w:rPr>
          <w:rFonts w:ascii="Arial" w:hAnsi="Arial" w:cs="Arial"/>
          <w:sz w:val="22"/>
          <w:szCs w:val="22"/>
        </w:rPr>
        <w:t>,  que comparada con la calificación inicial de 2440, muestra una mejoría al gestionarse las acciones preventivas planteadas y mediante el uso de los controles propuestos.</w:t>
      </w:r>
    </w:p>
    <w:p w:rsidR="005857AA" w:rsidRDefault="005857AA" w:rsidP="004720DC">
      <w:pPr>
        <w:rPr>
          <w:rFonts w:ascii="Arial" w:hAnsi="Arial" w:cs="Arial"/>
          <w:b/>
          <w:bCs/>
          <w:color w:val="008000"/>
          <w:szCs w:val="14"/>
        </w:rPr>
      </w:pPr>
    </w:p>
    <w:p w:rsidR="005857AA" w:rsidRPr="005857AA" w:rsidRDefault="005857AA" w:rsidP="004720DC">
      <w:pPr>
        <w:rPr>
          <w:rFonts w:ascii="Arial" w:hAnsi="Arial" w:cs="Arial"/>
          <w:b/>
          <w:bCs/>
          <w:color w:val="008000"/>
          <w:sz w:val="22"/>
          <w:szCs w:val="22"/>
        </w:rPr>
      </w:pPr>
    </w:p>
    <w:p w:rsidR="004720DC" w:rsidRPr="005857AA" w:rsidRDefault="004720DC" w:rsidP="004720DC">
      <w:pPr>
        <w:rPr>
          <w:rFonts w:ascii="Arial" w:hAnsi="Arial" w:cs="Arial"/>
          <w:b/>
          <w:bCs/>
          <w:color w:val="008000"/>
          <w:sz w:val="22"/>
          <w:szCs w:val="22"/>
        </w:rPr>
      </w:pPr>
      <w:r w:rsidRPr="005857AA">
        <w:rPr>
          <w:rFonts w:ascii="Arial" w:hAnsi="Arial" w:cs="Arial"/>
          <w:b/>
          <w:bCs/>
          <w:color w:val="008000"/>
          <w:sz w:val="22"/>
          <w:szCs w:val="22"/>
        </w:rPr>
        <w:t>11. REVISIÓN DE POLÍTICA Y OBJETIVOS DE CALIDAD</w:t>
      </w:r>
    </w:p>
    <w:p w:rsidR="004720DC" w:rsidRPr="005857AA" w:rsidRDefault="004720DC" w:rsidP="004720DC">
      <w:pPr>
        <w:tabs>
          <w:tab w:val="left" w:pos="360"/>
        </w:tabs>
        <w:jc w:val="both"/>
        <w:rPr>
          <w:rFonts w:ascii="Arial" w:hAnsi="Arial" w:cs="Arial"/>
          <w:b/>
          <w:bCs/>
          <w:sz w:val="22"/>
          <w:szCs w:val="22"/>
        </w:rPr>
      </w:pPr>
    </w:p>
    <w:p w:rsidR="004720DC" w:rsidRPr="005857AA" w:rsidRDefault="004720DC" w:rsidP="004720DC">
      <w:pPr>
        <w:pStyle w:val="Ttulo9"/>
        <w:rPr>
          <w:sz w:val="22"/>
          <w:szCs w:val="22"/>
        </w:rPr>
      </w:pPr>
      <w:r w:rsidRPr="005857AA">
        <w:rPr>
          <w:sz w:val="22"/>
          <w:szCs w:val="22"/>
        </w:rPr>
        <w:t>POLITICA DE CALIDAD ACTUAL</w:t>
      </w:r>
    </w:p>
    <w:p w:rsidR="004720DC" w:rsidRPr="005857AA" w:rsidRDefault="00D056BD" w:rsidP="004720DC">
      <w:pPr>
        <w:pStyle w:val="Textoindependiente"/>
        <w:rPr>
          <w:b/>
          <w:bCs/>
          <w:sz w:val="22"/>
          <w:szCs w:val="22"/>
        </w:rPr>
      </w:pPr>
      <w:r w:rsidRPr="00D056BD">
        <w:rPr>
          <w:b/>
          <w:bCs/>
          <w:noProof/>
          <w:sz w:val="22"/>
          <w:szCs w:val="22"/>
          <w:lang w:val="es-CO" w:eastAsia="es-CO"/>
        </w:rPr>
        <w:pict>
          <v:rect id="Rectangle 4" o:spid="_x0000_s1026" style="position:absolute;left:0;text-align:left;margin-left:-6pt;margin-top:4.2pt;width:446pt;height:159.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" fillcolor="green"/>
        </w:pict>
      </w:r>
    </w:p>
    <w:p w:rsidR="004720DC" w:rsidRPr="005857AA" w:rsidRDefault="004720DC" w:rsidP="004720DC">
      <w:pPr>
        <w:pStyle w:val="Sangradetextonormal"/>
        <w:rPr>
          <w:b/>
          <w:color w:val="FFFF00"/>
          <w:sz w:val="22"/>
          <w:szCs w:val="22"/>
        </w:rPr>
      </w:pPr>
      <w:r w:rsidRPr="005857AA">
        <w:rPr>
          <w:b/>
          <w:i/>
          <w:sz w:val="22"/>
          <w:szCs w:val="22"/>
        </w:rPr>
        <w:t xml:space="preserve"> </w:t>
      </w:r>
      <w:r w:rsidRPr="005857AA">
        <w:rPr>
          <w:b/>
          <w:i/>
          <w:color w:val="FFFF00"/>
          <w:sz w:val="22"/>
          <w:szCs w:val="22"/>
        </w:rPr>
        <w:t>“  El IDESAN,  propende por el fortalecimiento y desarrollo de los entes territoriales y entidades descentralizadas, a través de la prestación oportuna de servicios financieros competitivos destinados al crecimiento económico, social y cultural del Departamento de Santander en coordinación y cooperación con las entidades del sector publico y privado, con recurso humano calificado y comprometido en la mejora continua de la eficacia, la eficiencia y la efectividad de su S.G.C, actuando bajo los principios de ética, transparencia de sus procesos y en la toma de decisiones conforme a las disposiciones legales en un clima laboral de autogestión, autocontrol y autorregulación que permite de forma controlada la evaluación y verificación de sus actuaciones con el propósito de lograr la autosuficiencia de la entidad y contribuir al logro de  los  fines esenciales del estado, que le fueron conferidos legalmente  ”</w:t>
      </w:r>
    </w:p>
    <w:p w:rsidR="004720DC" w:rsidRPr="005857AA" w:rsidRDefault="004720DC" w:rsidP="004720DC">
      <w:pPr>
        <w:rPr>
          <w:rFonts w:ascii="Arial" w:hAnsi="Arial"/>
          <w:sz w:val="22"/>
          <w:szCs w:val="22"/>
        </w:rPr>
      </w:pPr>
    </w:p>
    <w:p w:rsidR="004720DC" w:rsidRPr="005857AA" w:rsidRDefault="004720DC" w:rsidP="004720DC">
      <w:pPr>
        <w:rPr>
          <w:rFonts w:ascii="Arial" w:hAnsi="Arial"/>
          <w:sz w:val="22"/>
          <w:szCs w:val="22"/>
        </w:rPr>
      </w:pPr>
    </w:p>
    <w:p w:rsidR="004720DC" w:rsidRPr="005857AA" w:rsidRDefault="004720DC" w:rsidP="004720DC">
      <w:pPr>
        <w:rPr>
          <w:rFonts w:ascii="Arial" w:hAnsi="Arial"/>
          <w:sz w:val="22"/>
          <w:szCs w:val="22"/>
        </w:rPr>
      </w:pPr>
      <w:r w:rsidRPr="005857AA">
        <w:rPr>
          <w:rFonts w:ascii="Arial" w:hAnsi="Arial"/>
          <w:sz w:val="22"/>
          <w:szCs w:val="22"/>
        </w:rPr>
        <w:t xml:space="preserve">La alta dirección del IDESAN en esta reunión procedió a revisar la política y los objetivos de calidad teniendo en cuenta los siguientes aspectos: </w:t>
      </w:r>
    </w:p>
    <w:p w:rsidR="004720DC" w:rsidRPr="005857AA" w:rsidRDefault="004720DC" w:rsidP="004720DC">
      <w:pPr>
        <w:rPr>
          <w:rFonts w:ascii="Arial" w:hAnsi="Arial"/>
          <w:sz w:val="22"/>
          <w:szCs w:val="22"/>
        </w:rPr>
      </w:pPr>
    </w:p>
    <w:p w:rsidR="004720DC" w:rsidRPr="005857AA" w:rsidRDefault="004720DC" w:rsidP="004720DC">
      <w:pPr>
        <w:rPr>
          <w:rFonts w:ascii="Arial" w:hAnsi="Arial"/>
          <w:sz w:val="22"/>
          <w:szCs w:val="22"/>
        </w:rPr>
      </w:pPr>
    </w:p>
    <w:p w:rsidR="004720DC" w:rsidRPr="005857AA" w:rsidRDefault="004720DC" w:rsidP="005857AA">
      <w:pPr>
        <w:widowControl w:val="0"/>
        <w:tabs>
          <w:tab w:val="left" w:pos="1660"/>
        </w:tabs>
        <w:autoSpaceDE w:val="0"/>
        <w:autoSpaceDN w:val="0"/>
        <w:adjustRightInd w:val="0"/>
        <w:spacing w:line="220" w:lineRule="exact"/>
        <w:ind w:right="-20"/>
        <w:rPr>
          <w:rFonts w:ascii="Helvetica" w:hAnsi="Helvetica" w:cs="Helvetica"/>
          <w:sz w:val="22"/>
          <w:szCs w:val="22"/>
        </w:rPr>
      </w:pPr>
      <w:r w:rsidRPr="005857AA">
        <w:rPr>
          <w:rFonts w:ascii="Helvetica" w:hAnsi="Helvetica" w:cs="Helvetica"/>
          <w:spacing w:val="-4"/>
          <w:sz w:val="22"/>
          <w:szCs w:val="22"/>
        </w:rPr>
        <w:t>a)           La política e</w:t>
      </w:r>
      <w:r w:rsidRPr="005857AA">
        <w:rPr>
          <w:rFonts w:ascii="Helvetica" w:hAnsi="Helvetica" w:cs="Helvetica"/>
          <w:sz w:val="22"/>
          <w:szCs w:val="22"/>
        </w:rPr>
        <w:t>s</w:t>
      </w:r>
      <w:r w:rsidRPr="005857AA">
        <w:rPr>
          <w:rFonts w:ascii="Helvetica" w:hAnsi="Helvetica" w:cs="Helvetica"/>
          <w:spacing w:val="-5"/>
          <w:sz w:val="22"/>
          <w:szCs w:val="22"/>
        </w:rPr>
        <w:t xml:space="preserve"> </w:t>
      </w:r>
      <w:r w:rsidRPr="005857AA">
        <w:rPr>
          <w:rFonts w:ascii="Helvetica" w:hAnsi="Helvetica" w:cs="Helvetica"/>
          <w:spacing w:val="-4"/>
          <w:sz w:val="22"/>
          <w:szCs w:val="22"/>
        </w:rPr>
        <w:t>adecuada</w:t>
      </w:r>
      <w:r w:rsidRPr="005857AA">
        <w:rPr>
          <w:rFonts w:ascii="Helvetica" w:hAnsi="Helvetica" w:cs="Helvetica"/>
          <w:spacing w:val="-3"/>
          <w:sz w:val="22"/>
          <w:szCs w:val="22"/>
        </w:rPr>
        <w:t xml:space="preserve"> </w:t>
      </w:r>
      <w:r w:rsidRPr="005857AA">
        <w:rPr>
          <w:rFonts w:ascii="Helvetica" w:hAnsi="Helvetica" w:cs="Helvetica"/>
          <w:sz w:val="22"/>
          <w:szCs w:val="22"/>
        </w:rPr>
        <w:t>a</w:t>
      </w:r>
      <w:r w:rsidRPr="005857AA">
        <w:rPr>
          <w:rFonts w:ascii="Helvetica" w:hAnsi="Helvetica" w:cs="Helvetica"/>
          <w:spacing w:val="-5"/>
          <w:sz w:val="22"/>
          <w:szCs w:val="22"/>
        </w:rPr>
        <w:t xml:space="preserve"> l</w:t>
      </w:r>
      <w:r w:rsidRPr="005857AA">
        <w:rPr>
          <w:rFonts w:ascii="Helvetica" w:hAnsi="Helvetica" w:cs="Helvetica"/>
          <w:sz w:val="22"/>
          <w:szCs w:val="22"/>
        </w:rPr>
        <w:t>a</w:t>
      </w:r>
      <w:r w:rsidRPr="005857AA">
        <w:rPr>
          <w:rFonts w:ascii="Helvetica" w:hAnsi="Helvetica" w:cs="Helvetica"/>
          <w:spacing w:val="-5"/>
          <w:sz w:val="22"/>
          <w:szCs w:val="22"/>
        </w:rPr>
        <w:t xml:space="preserve"> </w:t>
      </w:r>
      <w:r w:rsidRPr="005857AA">
        <w:rPr>
          <w:rFonts w:ascii="Helvetica" w:hAnsi="Helvetica" w:cs="Helvetica"/>
          <w:spacing w:val="-3"/>
          <w:sz w:val="22"/>
          <w:szCs w:val="22"/>
        </w:rPr>
        <w:t>m</w:t>
      </w:r>
      <w:r w:rsidRPr="005857AA">
        <w:rPr>
          <w:rFonts w:ascii="Helvetica" w:hAnsi="Helvetica" w:cs="Helvetica"/>
          <w:spacing w:val="-5"/>
          <w:sz w:val="22"/>
          <w:szCs w:val="22"/>
        </w:rPr>
        <w:t>i</w:t>
      </w:r>
      <w:r w:rsidRPr="005857AA">
        <w:rPr>
          <w:rFonts w:ascii="Helvetica" w:hAnsi="Helvetica" w:cs="Helvetica"/>
          <w:spacing w:val="-4"/>
          <w:sz w:val="22"/>
          <w:szCs w:val="22"/>
        </w:rPr>
        <w:t>s</w:t>
      </w:r>
      <w:r w:rsidRPr="005857AA">
        <w:rPr>
          <w:rFonts w:ascii="Helvetica" w:hAnsi="Helvetica" w:cs="Helvetica"/>
          <w:spacing w:val="-5"/>
          <w:sz w:val="22"/>
          <w:szCs w:val="22"/>
        </w:rPr>
        <w:t>i</w:t>
      </w:r>
      <w:r w:rsidRPr="005857AA">
        <w:rPr>
          <w:rFonts w:ascii="Helvetica" w:hAnsi="Helvetica" w:cs="Helvetica"/>
          <w:spacing w:val="-4"/>
          <w:sz w:val="22"/>
          <w:szCs w:val="22"/>
        </w:rPr>
        <w:t>ón</w:t>
      </w:r>
      <w:r w:rsidRPr="005857AA">
        <w:rPr>
          <w:rFonts w:ascii="Helvetica" w:hAnsi="Helvetica" w:cs="Helvetica"/>
          <w:spacing w:val="1"/>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e</w:t>
      </w:r>
      <w:r w:rsidRPr="005857AA">
        <w:rPr>
          <w:rFonts w:ascii="Helvetica" w:hAnsi="Helvetica" w:cs="Helvetica"/>
          <w:spacing w:val="-5"/>
          <w:sz w:val="22"/>
          <w:szCs w:val="22"/>
        </w:rPr>
        <w:t xml:space="preserve"> l</w:t>
      </w:r>
      <w:r w:rsidRPr="005857AA">
        <w:rPr>
          <w:rFonts w:ascii="Helvetica" w:hAnsi="Helvetica" w:cs="Helvetica"/>
          <w:spacing w:val="-4"/>
          <w:sz w:val="22"/>
          <w:szCs w:val="22"/>
        </w:rPr>
        <w:t>a</w:t>
      </w:r>
      <w:r w:rsidRPr="005857AA">
        <w:rPr>
          <w:rFonts w:ascii="Helvetica" w:hAnsi="Helvetica" w:cs="Helvetica"/>
          <w:spacing w:val="-3"/>
          <w:sz w:val="22"/>
          <w:szCs w:val="22"/>
        </w:rPr>
        <w:t xml:space="preserve"> </w:t>
      </w:r>
      <w:r w:rsidRPr="005857AA">
        <w:rPr>
          <w:rFonts w:ascii="Helvetica" w:hAnsi="Helvetica" w:cs="Helvetica"/>
          <w:spacing w:val="-4"/>
          <w:sz w:val="22"/>
          <w:szCs w:val="22"/>
        </w:rPr>
        <w:t>en</w:t>
      </w:r>
      <w:r w:rsidRPr="005857AA">
        <w:rPr>
          <w:rFonts w:ascii="Helvetica" w:hAnsi="Helvetica" w:cs="Helvetica"/>
          <w:spacing w:val="-3"/>
          <w:sz w:val="22"/>
          <w:szCs w:val="22"/>
        </w:rPr>
        <w:t>t</w:t>
      </w:r>
      <w:r w:rsidRPr="005857AA">
        <w:rPr>
          <w:rFonts w:ascii="Helvetica" w:hAnsi="Helvetica" w:cs="Helvetica"/>
          <w:spacing w:val="-5"/>
          <w:sz w:val="22"/>
          <w:szCs w:val="22"/>
        </w:rPr>
        <w:t>i</w:t>
      </w:r>
      <w:r w:rsidRPr="005857AA">
        <w:rPr>
          <w:rFonts w:ascii="Helvetica" w:hAnsi="Helvetica" w:cs="Helvetica"/>
          <w:spacing w:val="-4"/>
          <w:sz w:val="22"/>
          <w:szCs w:val="22"/>
        </w:rPr>
        <w:t>dad</w:t>
      </w:r>
      <w:r w:rsidRPr="005857AA">
        <w:rPr>
          <w:rFonts w:ascii="Helvetica" w:hAnsi="Helvetica" w:cs="Helvetica"/>
          <w:spacing w:val="-3"/>
          <w:sz w:val="22"/>
          <w:szCs w:val="22"/>
        </w:rPr>
        <w:t xml:space="preserve">;?   </w:t>
      </w:r>
      <w:r w:rsidRPr="005857AA">
        <w:rPr>
          <w:rFonts w:ascii="Helvetica" w:hAnsi="Helvetica" w:cs="Helvetica"/>
          <w:b/>
          <w:bCs/>
          <w:spacing w:val="-3"/>
          <w:sz w:val="22"/>
          <w:szCs w:val="22"/>
        </w:rPr>
        <w:t>y se concluye que.   .   .SI</w:t>
      </w:r>
    </w:p>
    <w:p w:rsidR="004720DC" w:rsidRPr="005857AA" w:rsidRDefault="004720DC" w:rsidP="004720DC">
      <w:pPr>
        <w:widowControl w:val="0"/>
        <w:autoSpaceDE w:val="0"/>
        <w:autoSpaceDN w:val="0"/>
        <w:adjustRightInd w:val="0"/>
        <w:spacing w:line="256" w:lineRule="exact"/>
        <w:rPr>
          <w:rFonts w:ascii="Helvetica" w:hAnsi="Helvetica" w:cs="Helvetica"/>
          <w:sz w:val="22"/>
          <w:szCs w:val="22"/>
        </w:rPr>
      </w:pPr>
    </w:p>
    <w:p w:rsidR="004720DC" w:rsidRPr="005857AA" w:rsidRDefault="004720DC" w:rsidP="005857AA">
      <w:pPr>
        <w:widowControl w:val="0"/>
        <w:tabs>
          <w:tab w:val="left" w:pos="1660"/>
        </w:tabs>
        <w:autoSpaceDE w:val="0"/>
        <w:autoSpaceDN w:val="0"/>
        <w:adjustRightInd w:val="0"/>
        <w:spacing w:line="250" w:lineRule="exact"/>
        <w:ind w:right="95"/>
        <w:jc w:val="both"/>
        <w:rPr>
          <w:rFonts w:ascii="Helvetica" w:hAnsi="Helvetica" w:cs="Helvetica"/>
          <w:b/>
          <w:bCs/>
          <w:sz w:val="22"/>
          <w:szCs w:val="22"/>
        </w:rPr>
      </w:pPr>
      <w:r w:rsidRPr="005857AA">
        <w:rPr>
          <w:rFonts w:ascii="Helvetica" w:hAnsi="Helvetica" w:cs="Helvetica"/>
          <w:spacing w:val="-4"/>
          <w:sz w:val="22"/>
          <w:szCs w:val="22"/>
        </w:rPr>
        <w:t>b</w:t>
      </w:r>
      <w:r w:rsidRPr="005857AA">
        <w:rPr>
          <w:rFonts w:ascii="Helvetica" w:hAnsi="Helvetica" w:cs="Helvetica"/>
          <w:sz w:val="22"/>
          <w:szCs w:val="22"/>
        </w:rPr>
        <w:t xml:space="preserve">)         La política </w:t>
      </w:r>
      <w:r w:rsidRPr="005857AA">
        <w:rPr>
          <w:rFonts w:ascii="Helvetica" w:hAnsi="Helvetica" w:cs="Helvetica"/>
          <w:spacing w:val="-4"/>
          <w:sz w:val="22"/>
          <w:szCs w:val="22"/>
        </w:rPr>
        <w:t>es</w:t>
      </w:r>
      <w:r w:rsidRPr="005857AA">
        <w:rPr>
          <w:rFonts w:ascii="Helvetica" w:hAnsi="Helvetica" w:cs="Helvetica"/>
          <w:sz w:val="22"/>
          <w:szCs w:val="22"/>
        </w:rPr>
        <w:t>,</w:t>
      </w:r>
      <w:r w:rsidRPr="005857AA">
        <w:rPr>
          <w:rFonts w:ascii="Helvetica" w:hAnsi="Helvetica" w:cs="Helvetica"/>
          <w:spacing w:val="-4"/>
          <w:sz w:val="22"/>
          <w:szCs w:val="22"/>
        </w:rPr>
        <w:t xml:space="preserve"> se</w:t>
      </w:r>
      <w:r w:rsidRPr="005857AA">
        <w:rPr>
          <w:rFonts w:ascii="Helvetica" w:hAnsi="Helvetica" w:cs="Helvetica"/>
          <w:spacing w:val="-2"/>
          <w:sz w:val="22"/>
          <w:szCs w:val="22"/>
        </w:rPr>
        <w:t>g</w:t>
      </w:r>
      <w:r w:rsidRPr="005857AA">
        <w:rPr>
          <w:rFonts w:ascii="Helvetica" w:hAnsi="Helvetica" w:cs="Helvetica"/>
          <w:spacing w:val="-4"/>
          <w:sz w:val="22"/>
          <w:szCs w:val="22"/>
        </w:rPr>
        <w:t>ú</w:t>
      </w:r>
      <w:r w:rsidRPr="005857AA">
        <w:rPr>
          <w:rFonts w:ascii="Helvetica" w:hAnsi="Helvetica" w:cs="Helvetica"/>
          <w:sz w:val="22"/>
          <w:szCs w:val="22"/>
        </w:rPr>
        <w:t>n</w:t>
      </w:r>
      <w:r w:rsidRPr="005857AA">
        <w:rPr>
          <w:rFonts w:ascii="Helvetica" w:hAnsi="Helvetica" w:cs="Helvetica"/>
          <w:spacing w:val="-5"/>
          <w:sz w:val="22"/>
          <w:szCs w:val="22"/>
        </w:rPr>
        <w:t xml:space="preserve"> </w:t>
      </w:r>
      <w:r w:rsidRPr="005857AA">
        <w:rPr>
          <w:rFonts w:ascii="Helvetica" w:hAnsi="Helvetica" w:cs="Helvetica"/>
          <w:spacing w:val="-4"/>
          <w:sz w:val="22"/>
          <w:szCs w:val="22"/>
        </w:rPr>
        <w:t>sea</w:t>
      </w:r>
      <w:r w:rsidRPr="005857AA">
        <w:rPr>
          <w:rFonts w:ascii="Helvetica" w:hAnsi="Helvetica" w:cs="Helvetica"/>
          <w:spacing w:val="-3"/>
          <w:sz w:val="22"/>
          <w:szCs w:val="22"/>
        </w:rPr>
        <w:t xml:space="preserve"> </w:t>
      </w:r>
      <w:r w:rsidRPr="005857AA">
        <w:rPr>
          <w:rFonts w:ascii="Helvetica" w:hAnsi="Helvetica" w:cs="Helvetica"/>
          <w:spacing w:val="-4"/>
          <w:sz w:val="22"/>
          <w:szCs w:val="22"/>
        </w:rPr>
        <w:t>ap</w:t>
      </w:r>
      <w:r w:rsidRPr="005857AA">
        <w:rPr>
          <w:rFonts w:ascii="Helvetica" w:hAnsi="Helvetica" w:cs="Helvetica"/>
          <w:spacing w:val="-5"/>
          <w:sz w:val="22"/>
          <w:szCs w:val="22"/>
        </w:rPr>
        <w:t>li</w:t>
      </w:r>
      <w:r w:rsidRPr="005857AA">
        <w:rPr>
          <w:rFonts w:ascii="Helvetica" w:hAnsi="Helvetica" w:cs="Helvetica"/>
          <w:sz w:val="22"/>
          <w:szCs w:val="22"/>
        </w:rPr>
        <w:t>c</w:t>
      </w:r>
      <w:r w:rsidRPr="005857AA">
        <w:rPr>
          <w:rFonts w:ascii="Helvetica" w:hAnsi="Helvetica" w:cs="Helvetica"/>
          <w:spacing w:val="-4"/>
          <w:sz w:val="22"/>
          <w:szCs w:val="22"/>
        </w:rPr>
        <w:t>ab</w:t>
      </w:r>
      <w:r w:rsidRPr="005857AA">
        <w:rPr>
          <w:rFonts w:ascii="Helvetica" w:hAnsi="Helvetica" w:cs="Helvetica"/>
          <w:spacing w:val="-5"/>
          <w:sz w:val="22"/>
          <w:szCs w:val="22"/>
        </w:rPr>
        <w:t>l</w:t>
      </w:r>
      <w:r w:rsidRPr="005857AA">
        <w:rPr>
          <w:rFonts w:ascii="Helvetica" w:hAnsi="Helvetica" w:cs="Helvetica"/>
          <w:sz w:val="22"/>
          <w:szCs w:val="22"/>
        </w:rPr>
        <w:t>e</w:t>
      </w:r>
      <w:r w:rsidRPr="005857AA">
        <w:rPr>
          <w:rFonts w:ascii="Helvetica" w:hAnsi="Helvetica" w:cs="Helvetica"/>
          <w:spacing w:val="-3"/>
          <w:sz w:val="22"/>
          <w:szCs w:val="22"/>
        </w:rPr>
        <w:t xml:space="preserve"> </w:t>
      </w:r>
      <w:r w:rsidRPr="005857AA">
        <w:rPr>
          <w:rFonts w:ascii="Helvetica" w:hAnsi="Helvetica" w:cs="Helvetica"/>
          <w:spacing w:val="-2"/>
          <w:sz w:val="22"/>
          <w:szCs w:val="22"/>
        </w:rPr>
        <w:t>a</w:t>
      </w:r>
      <w:r w:rsidRPr="005857AA">
        <w:rPr>
          <w:rFonts w:ascii="Helvetica" w:hAnsi="Helvetica" w:cs="Helvetica"/>
          <w:sz w:val="22"/>
          <w:szCs w:val="22"/>
        </w:rPr>
        <w:t>l</w:t>
      </w:r>
      <w:r w:rsidRPr="005857AA">
        <w:rPr>
          <w:rFonts w:ascii="Helvetica" w:hAnsi="Helvetica" w:cs="Helvetica"/>
          <w:spacing w:val="-6"/>
          <w:sz w:val="22"/>
          <w:szCs w:val="22"/>
        </w:rPr>
        <w:t xml:space="preserve"> </w:t>
      </w:r>
      <w:r w:rsidRPr="005857AA">
        <w:rPr>
          <w:rFonts w:ascii="Helvetica" w:hAnsi="Helvetica" w:cs="Helvetica"/>
          <w:spacing w:val="-3"/>
          <w:sz w:val="22"/>
          <w:szCs w:val="22"/>
        </w:rPr>
        <w:t>t</w:t>
      </w:r>
      <w:r w:rsidRPr="005857AA">
        <w:rPr>
          <w:rFonts w:ascii="Helvetica" w:hAnsi="Helvetica" w:cs="Helvetica"/>
          <w:spacing w:val="-5"/>
          <w:sz w:val="22"/>
          <w:szCs w:val="22"/>
        </w:rPr>
        <w:t>i</w:t>
      </w:r>
      <w:r w:rsidRPr="005857AA">
        <w:rPr>
          <w:rFonts w:ascii="Helvetica" w:hAnsi="Helvetica" w:cs="Helvetica"/>
          <w:spacing w:val="-4"/>
          <w:sz w:val="22"/>
          <w:szCs w:val="22"/>
        </w:rPr>
        <w:t>po</w:t>
      </w:r>
      <w:r w:rsidRPr="005857AA">
        <w:rPr>
          <w:rFonts w:ascii="Helvetica" w:hAnsi="Helvetica" w:cs="Helvetica"/>
          <w:spacing w:val="-3"/>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e</w:t>
      </w:r>
      <w:r w:rsidRPr="005857AA">
        <w:rPr>
          <w:rFonts w:ascii="Helvetica" w:hAnsi="Helvetica" w:cs="Helvetica"/>
          <w:spacing w:val="-3"/>
          <w:sz w:val="22"/>
          <w:szCs w:val="22"/>
        </w:rPr>
        <w:t xml:space="preserve"> </w:t>
      </w:r>
      <w:r w:rsidRPr="005857AA">
        <w:rPr>
          <w:rFonts w:ascii="Helvetica" w:hAnsi="Helvetica" w:cs="Helvetica"/>
          <w:spacing w:val="-4"/>
          <w:sz w:val="22"/>
          <w:szCs w:val="22"/>
        </w:rPr>
        <w:t>en</w:t>
      </w:r>
      <w:r w:rsidRPr="005857AA">
        <w:rPr>
          <w:rFonts w:ascii="Helvetica" w:hAnsi="Helvetica" w:cs="Helvetica"/>
          <w:spacing w:val="-3"/>
          <w:sz w:val="22"/>
          <w:szCs w:val="22"/>
        </w:rPr>
        <w:t>t</w:t>
      </w:r>
      <w:r w:rsidRPr="005857AA">
        <w:rPr>
          <w:rFonts w:ascii="Helvetica" w:hAnsi="Helvetica" w:cs="Helvetica"/>
          <w:spacing w:val="-5"/>
          <w:sz w:val="22"/>
          <w:szCs w:val="22"/>
        </w:rPr>
        <w:t>i</w:t>
      </w:r>
      <w:r w:rsidRPr="005857AA">
        <w:rPr>
          <w:rFonts w:ascii="Helvetica" w:hAnsi="Helvetica" w:cs="Helvetica"/>
          <w:spacing w:val="-4"/>
          <w:sz w:val="22"/>
          <w:szCs w:val="22"/>
        </w:rPr>
        <w:t>d</w:t>
      </w:r>
      <w:r w:rsidRPr="005857AA">
        <w:rPr>
          <w:rFonts w:ascii="Helvetica" w:hAnsi="Helvetica" w:cs="Helvetica"/>
          <w:spacing w:val="-2"/>
          <w:sz w:val="22"/>
          <w:szCs w:val="22"/>
        </w:rPr>
        <w:t>a</w:t>
      </w:r>
      <w:r w:rsidRPr="005857AA">
        <w:rPr>
          <w:rFonts w:ascii="Helvetica" w:hAnsi="Helvetica" w:cs="Helvetica"/>
          <w:spacing w:val="-4"/>
          <w:sz w:val="22"/>
          <w:szCs w:val="22"/>
        </w:rPr>
        <w:t>d</w:t>
      </w:r>
      <w:r w:rsidRPr="005857AA">
        <w:rPr>
          <w:rFonts w:ascii="Helvetica" w:hAnsi="Helvetica" w:cs="Helvetica"/>
          <w:sz w:val="22"/>
          <w:szCs w:val="22"/>
        </w:rPr>
        <w:t>,</w:t>
      </w:r>
      <w:r w:rsidRPr="005857AA">
        <w:rPr>
          <w:rFonts w:ascii="Helvetica" w:hAnsi="Helvetica" w:cs="Helvetica"/>
          <w:spacing w:val="-4"/>
          <w:sz w:val="22"/>
          <w:szCs w:val="22"/>
        </w:rPr>
        <w:t xml:space="preserve"> cohe</w:t>
      </w:r>
      <w:r w:rsidRPr="005857AA">
        <w:rPr>
          <w:rFonts w:ascii="Helvetica" w:hAnsi="Helvetica" w:cs="Helvetica"/>
          <w:spacing w:val="-3"/>
          <w:sz w:val="22"/>
          <w:szCs w:val="22"/>
        </w:rPr>
        <w:t>r</w:t>
      </w:r>
      <w:r w:rsidRPr="005857AA">
        <w:rPr>
          <w:rFonts w:ascii="Helvetica" w:hAnsi="Helvetica" w:cs="Helvetica"/>
          <w:spacing w:val="-4"/>
          <w:sz w:val="22"/>
          <w:szCs w:val="22"/>
        </w:rPr>
        <w:t>e</w:t>
      </w:r>
      <w:r w:rsidRPr="005857AA">
        <w:rPr>
          <w:rFonts w:ascii="Helvetica" w:hAnsi="Helvetica" w:cs="Helvetica"/>
          <w:spacing w:val="-2"/>
          <w:sz w:val="22"/>
          <w:szCs w:val="22"/>
        </w:rPr>
        <w:t>n</w:t>
      </w:r>
      <w:r w:rsidRPr="005857AA">
        <w:rPr>
          <w:rFonts w:ascii="Helvetica" w:hAnsi="Helvetica" w:cs="Helvetica"/>
          <w:spacing w:val="-3"/>
          <w:sz w:val="22"/>
          <w:szCs w:val="22"/>
        </w:rPr>
        <w:t>t</w:t>
      </w:r>
      <w:r w:rsidRPr="005857AA">
        <w:rPr>
          <w:rFonts w:ascii="Helvetica" w:hAnsi="Helvetica" w:cs="Helvetica"/>
          <w:sz w:val="22"/>
          <w:szCs w:val="22"/>
        </w:rPr>
        <w:t>e</w:t>
      </w:r>
      <w:r w:rsidRPr="005857AA">
        <w:rPr>
          <w:rFonts w:ascii="Helvetica" w:hAnsi="Helvetica" w:cs="Helvetica"/>
          <w:spacing w:val="-5"/>
          <w:sz w:val="22"/>
          <w:szCs w:val="22"/>
        </w:rPr>
        <w:t xml:space="preserve"> </w:t>
      </w:r>
      <w:r w:rsidRPr="005857AA">
        <w:rPr>
          <w:rFonts w:ascii="Helvetica" w:hAnsi="Helvetica" w:cs="Helvetica"/>
          <w:spacing w:val="-4"/>
          <w:sz w:val="22"/>
          <w:szCs w:val="22"/>
        </w:rPr>
        <w:t>con</w:t>
      </w:r>
      <w:r w:rsidRPr="005857AA">
        <w:rPr>
          <w:rFonts w:ascii="Helvetica" w:hAnsi="Helvetica" w:cs="Helvetica"/>
          <w:spacing w:val="-3"/>
          <w:sz w:val="22"/>
          <w:szCs w:val="22"/>
        </w:rPr>
        <w:t xml:space="preserve"> </w:t>
      </w:r>
      <w:r w:rsidRPr="005857AA">
        <w:rPr>
          <w:rFonts w:ascii="Helvetica" w:hAnsi="Helvetica" w:cs="Helvetica"/>
          <w:spacing w:val="-4"/>
          <w:sz w:val="22"/>
          <w:szCs w:val="22"/>
        </w:rPr>
        <w:t>e</w:t>
      </w:r>
      <w:r w:rsidRPr="005857AA">
        <w:rPr>
          <w:rFonts w:ascii="Helvetica" w:hAnsi="Helvetica" w:cs="Helvetica"/>
          <w:sz w:val="22"/>
          <w:szCs w:val="22"/>
        </w:rPr>
        <w:t>l</w:t>
      </w:r>
      <w:r w:rsidRPr="005857AA">
        <w:rPr>
          <w:rFonts w:ascii="Helvetica" w:hAnsi="Helvetica" w:cs="Helvetica"/>
          <w:spacing w:val="-6"/>
          <w:sz w:val="22"/>
          <w:szCs w:val="22"/>
        </w:rPr>
        <w:t xml:space="preserve"> </w:t>
      </w:r>
      <w:r w:rsidRPr="005857AA">
        <w:rPr>
          <w:rFonts w:ascii="Helvetica" w:hAnsi="Helvetica" w:cs="Helvetica"/>
          <w:spacing w:val="-2"/>
          <w:sz w:val="22"/>
          <w:szCs w:val="22"/>
        </w:rPr>
        <w:t>p</w:t>
      </w:r>
      <w:r w:rsidRPr="005857AA">
        <w:rPr>
          <w:rFonts w:ascii="Helvetica" w:hAnsi="Helvetica" w:cs="Helvetica"/>
          <w:spacing w:val="-5"/>
          <w:sz w:val="22"/>
          <w:szCs w:val="22"/>
        </w:rPr>
        <w:t>l</w:t>
      </w:r>
      <w:r w:rsidRPr="005857AA">
        <w:rPr>
          <w:rFonts w:ascii="Helvetica" w:hAnsi="Helvetica" w:cs="Helvetica"/>
          <w:spacing w:val="-4"/>
          <w:sz w:val="22"/>
          <w:szCs w:val="22"/>
        </w:rPr>
        <w:t>an</w:t>
      </w:r>
      <w:r w:rsidRPr="005857AA">
        <w:rPr>
          <w:rFonts w:ascii="Helvetica" w:hAnsi="Helvetica" w:cs="Helvetica"/>
          <w:spacing w:val="-3"/>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e</w:t>
      </w:r>
      <w:r w:rsidRPr="005857AA">
        <w:rPr>
          <w:rFonts w:ascii="Helvetica" w:hAnsi="Helvetica" w:cs="Helvetica"/>
          <w:spacing w:val="-3"/>
          <w:sz w:val="22"/>
          <w:szCs w:val="22"/>
        </w:rPr>
        <w:t xml:space="preserve"> </w:t>
      </w:r>
      <w:r w:rsidRPr="005857AA">
        <w:rPr>
          <w:rFonts w:ascii="Helvetica" w:hAnsi="Helvetica" w:cs="Helvetica"/>
          <w:spacing w:val="-4"/>
          <w:sz w:val="22"/>
          <w:szCs w:val="22"/>
        </w:rPr>
        <w:t>desa</w:t>
      </w:r>
      <w:r w:rsidRPr="005857AA">
        <w:rPr>
          <w:rFonts w:ascii="Helvetica" w:hAnsi="Helvetica" w:cs="Helvetica"/>
          <w:spacing w:val="-3"/>
          <w:sz w:val="22"/>
          <w:szCs w:val="22"/>
        </w:rPr>
        <w:t>rr</w:t>
      </w:r>
      <w:r w:rsidRPr="005857AA">
        <w:rPr>
          <w:rFonts w:ascii="Helvetica" w:hAnsi="Helvetica" w:cs="Helvetica"/>
          <w:spacing w:val="-4"/>
          <w:sz w:val="22"/>
          <w:szCs w:val="22"/>
        </w:rPr>
        <w:t>o</w:t>
      </w:r>
      <w:r w:rsidRPr="005857AA">
        <w:rPr>
          <w:rFonts w:ascii="Helvetica" w:hAnsi="Helvetica" w:cs="Helvetica"/>
          <w:spacing w:val="-3"/>
          <w:sz w:val="22"/>
          <w:szCs w:val="22"/>
        </w:rPr>
        <w:t>l</w:t>
      </w:r>
      <w:r w:rsidRPr="005857AA">
        <w:rPr>
          <w:rFonts w:ascii="Helvetica" w:hAnsi="Helvetica" w:cs="Helvetica"/>
          <w:spacing w:val="-5"/>
          <w:sz w:val="22"/>
          <w:szCs w:val="22"/>
        </w:rPr>
        <w:t>l</w:t>
      </w:r>
      <w:r w:rsidRPr="005857AA">
        <w:rPr>
          <w:rFonts w:ascii="Helvetica" w:hAnsi="Helvetica" w:cs="Helvetica"/>
          <w:spacing w:val="-4"/>
          <w:sz w:val="22"/>
          <w:szCs w:val="22"/>
        </w:rPr>
        <w:t>o</w:t>
      </w:r>
      <w:r w:rsidRPr="005857AA">
        <w:rPr>
          <w:rFonts w:ascii="Helvetica" w:hAnsi="Helvetica" w:cs="Helvetica"/>
          <w:sz w:val="22"/>
          <w:szCs w:val="22"/>
        </w:rPr>
        <w:t>,</w:t>
      </w:r>
      <w:r w:rsidRPr="005857AA">
        <w:rPr>
          <w:rFonts w:ascii="Helvetica" w:hAnsi="Helvetica" w:cs="Helvetica"/>
          <w:spacing w:val="-4"/>
          <w:sz w:val="22"/>
          <w:szCs w:val="22"/>
        </w:rPr>
        <w:t xml:space="preserve"> </w:t>
      </w:r>
      <w:r w:rsidRPr="005857AA">
        <w:rPr>
          <w:rFonts w:ascii="Helvetica" w:hAnsi="Helvetica" w:cs="Helvetica"/>
          <w:spacing w:val="-5"/>
          <w:sz w:val="22"/>
          <w:szCs w:val="22"/>
        </w:rPr>
        <w:t>l</w:t>
      </w:r>
      <w:r w:rsidRPr="005857AA">
        <w:rPr>
          <w:rFonts w:ascii="Helvetica" w:hAnsi="Helvetica" w:cs="Helvetica"/>
          <w:spacing w:val="-4"/>
          <w:sz w:val="22"/>
          <w:szCs w:val="22"/>
        </w:rPr>
        <w:t>os p</w:t>
      </w:r>
      <w:r w:rsidRPr="005857AA">
        <w:rPr>
          <w:rFonts w:ascii="Helvetica" w:hAnsi="Helvetica" w:cs="Helvetica"/>
          <w:spacing w:val="-5"/>
          <w:sz w:val="22"/>
          <w:szCs w:val="22"/>
        </w:rPr>
        <w:t>l</w:t>
      </w:r>
      <w:r w:rsidRPr="005857AA">
        <w:rPr>
          <w:rFonts w:ascii="Helvetica" w:hAnsi="Helvetica" w:cs="Helvetica"/>
          <w:spacing w:val="-4"/>
          <w:sz w:val="22"/>
          <w:szCs w:val="22"/>
        </w:rPr>
        <w:t>ane</w:t>
      </w:r>
      <w:r w:rsidRPr="005857AA">
        <w:rPr>
          <w:rFonts w:ascii="Helvetica" w:hAnsi="Helvetica" w:cs="Helvetica"/>
          <w:sz w:val="22"/>
          <w:szCs w:val="22"/>
        </w:rPr>
        <w:t>s</w:t>
      </w:r>
      <w:r w:rsidRPr="005857AA">
        <w:rPr>
          <w:rFonts w:ascii="Helvetica" w:hAnsi="Helvetica" w:cs="Helvetica"/>
          <w:spacing w:val="20"/>
          <w:sz w:val="22"/>
          <w:szCs w:val="22"/>
        </w:rPr>
        <w:t xml:space="preserve"> </w:t>
      </w:r>
      <w:r w:rsidRPr="005857AA">
        <w:rPr>
          <w:rFonts w:ascii="Helvetica" w:hAnsi="Helvetica" w:cs="Helvetica"/>
          <w:sz w:val="22"/>
          <w:szCs w:val="22"/>
        </w:rPr>
        <w:t>s</w:t>
      </w:r>
      <w:r w:rsidRPr="005857AA">
        <w:rPr>
          <w:rFonts w:ascii="Helvetica" w:hAnsi="Helvetica" w:cs="Helvetica"/>
          <w:spacing w:val="-4"/>
          <w:sz w:val="22"/>
          <w:szCs w:val="22"/>
        </w:rPr>
        <w:t>ec</w:t>
      </w:r>
      <w:r w:rsidRPr="005857AA">
        <w:rPr>
          <w:rFonts w:ascii="Helvetica" w:hAnsi="Helvetica" w:cs="Helvetica"/>
          <w:spacing w:val="-3"/>
          <w:sz w:val="22"/>
          <w:szCs w:val="22"/>
        </w:rPr>
        <w:t>t</w:t>
      </w:r>
      <w:r w:rsidRPr="005857AA">
        <w:rPr>
          <w:rFonts w:ascii="Helvetica" w:hAnsi="Helvetica" w:cs="Helvetica"/>
          <w:spacing w:val="-4"/>
          <w:sz w:val="22"/>
          <w:szCs w:val="22"/>
        </w:rPr>
        <w:t>o</w:t>
      </w:r>
      <w:r w:rsidRPr="005857AA">
        <w:rPr>
          <w:rFonts w:ascii="Helvetica" w:hAnsi="Helvetica" w:cs="Helvetica"/>
          <w:spacing w:val="-3"/>
          <w:sz w:val="22"/>
          <w:szCs w:val="22"/>
        </w:rPr>
        <w:t>r</w:t>
      </w:r>
      <w:r w:rsidRPr="005857AA">
        <w:rPr>
          <w:rFonts w:ascii="Helvetica" w:hAnsi="Helvetica" w:cs="Helvetica"/>
          <w:spacing w:val="-5"/>
          <w:sz w:val="22"/>
          <w:szCs w:val="22"/>
        </w:rPr>
        <w:t>i</w:t>
      </w:r>
      <w:r w:rsidRPr="005857AA">
        <w:rPr>
          <w:rFonts w:ascii="Helvetica" w:hAnsi="Helvetica" w:cs="Helvetica"/>
          <w:spacing w:val="-4"/>
          <w:sz w:val="22"/>
          <w:szCs w:val="22"/>
        </w:rPr>
        <w:t>a</w:t>
      </w:r>
      <w:r w:rsidRPr="005857AA">
        <w:rPr>
          <w:rFonts w:ascii="Helvetica" w:hAnsi="Helvetica" w:cs="Helvetica"/>
          <w:spacing w:val="-5"/>
          <w:sz w:val="22"/>
          <w:szCs w:val="22"/>
        </w:rPr>
        <w:t>l</w:t>
      </w:r>
      <w:r w:rsidRPr="005857AA">
        <w:rPr>
          <w:rFonts w:ascii="Helvetica" w:hAnsi="Helvetica" w:cs="Helvetica"/>
          <w:spacing w:val="-4"/>
          <w:sz w:val="22"/>
          <w:szCs w:val="22"/>
        </w:rPr>
        <w:t>e</w:t>
      </w:r>
      <w:r w:rsidRPr="005857AA">
        <w:rPr>
          <w:rFonts w:ascii="Helvetica" w:hAnsi="Helvetica" w:cs="Helvetica"/>
          <w:sz w:val="22"/>
          <w:szCs w:val="22"/>
        </w:rPr>
        <w:t>s</w:t>
      </w:r>
      <w:r w:rsidRPr="005857AA">
        <w:rPr>
          <w:rFonts w:ascii="Helvetica" w:hAnsi="Helvetica" w:cs="Helvetica"/>
          <w:spacing w:val="25"/>
          <w:sz w:val="22"/>
          <w:szCs w:val="22"/>
        </w:rPr>
        <w:t xml:space="preserve"> </w:t>
      </w:r>
      <w:r w:rsidRPr="005857AA">
        <w:rPr>
          <w:rFonts w:ascii="Helvetica" w:hAnsi="Helvetica" w:cs="Helvetica"/>
          <w:sz w:val="22"/>
          <w:szCs w:val="22"/>
        </w:rPr>
        <w:t>y</w:t>
      </w:r>
      <w:r w:rsidRPr="005857AA">
        <w:rPr>
          <w:rFonts w:ascii="Helvetica" w:hAnsi="Helvetica" w:cs="Helvetica"/>
          <w:spacing w:val="18"/>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e</w:t>
      </w:r>
      <w:r w:rsidRPr="005857AA">
        <w:rPr>
          <w:rFonts w:ascii="Helvetica" w:hAnsi="Helvetica" w:cs="Helvetica"/>
          <w:spacing w:val="25"/>
          <w:sz w:val="22"/>
          <w:szCs w:val="22"/>
        </w:rPr>
        <w:t xml:space="preserve"> </w:t>
      </w:r>
      <w:r w:rsidRPr="005857AA">
        <w:rPr>
          <w:rFonts w:ascii="Helvetica" w:hAnsi="Helvetica" w:cs="Helvetica"/>
          <w:spacing w:val="-4"/>
          <w:sz w:val="22"/>
          <w:szCs w:val="22"/>
        </w:rPr>
        <w:t>desa</w:t>
      </w:r>
      <w:r w:rsidRPr="005857AA">
        <w:rPr>
          <w:rFonts w:ascii="Helvetica" w:hAnsi="Helvetica" w:cs="Helvetica"/>
          <w:spacing w:val="-3"/>
          <w:sz w:val="22"/>
          <w:szCs w:val="22"/>
        </w:rPr>
        <w:t>rr</w:t>
      </w:r>
      <w:r w:rsidRPr="005857AA">
        <w:rPr>
          <w:rFonts w:ascii="Helvetica" w:hAnsi="Helvetica" w:cs="Helvetica"/>
          <w:spacing w:val="-4"/>
          <w:sz w:val="22"/>
          <w:szCs w:val="22"/>
        </w:rPr>
        <w:t>o</w:t>
      </w:r>
      <w:r w:rsidRPr="005857AA">
        <w:rPr>
          <w:rFonts w:ascii="Helvetica" w:hAnsi="Helvetica" w:cs="Helvetica"/>
          <w:spacing w:val="-5"/>
          <w:sz w:val="22"/>
          <w:szCs w:val="22"/>
        </w:rPr>
        <w:t>ll</w:t>
      </w:r>
      <w:r w:rsidRPr="005857AA">
        <w:rPr>
          <w:rFonts w:ascii="Helvetica" w:hAnsi="Helvetica" w:cs="Helvetica"/>
          <w:sz w:val="22"/>
          <w:szCs w:val="22"/>
        </w:rPr>
        <w:t>o</w:t>
      </w:r>
      <w:r w:rsidRPr="005857AA">
        <w:rPr>
          <w:rFonts w:ascii="Helvetica" w:hAnsi="Helvetica" w:cs="Helvetica"/>
          <w:spacing w:val="22"/>
          <w:sz w:val="22"/>
          <w:szCs w:val="22"/>
        </w:rPr>
        <w:t xml:space="preserve"> </w:t>
      </w:r>
      <w:r w:rsidRPr="005857AA">
        <w:rPr>
          <w:rFonts w:ascii="Helvetica" w:hAnsi="Helvetica" w:cs="Helvetica"/>
          <w:spacing w:val="-4"/>
          <w:sz w:val="22"/>
          <w:szCs w:val="22"/>
        </w:rPr>
        <w:t>ad</w:t>
      </w:r>
      <w:r w:rsidRPr="005857AA">
        <w:rPr>
          <w:rFonts w:ascii="Helvetica" w:hAnsi="Helvetica" w:cs="Helvetica"/>
          <w:spacing w:val="-3"/>
          <w:sz w:val="22"/>
          <w:szCs w:val="22"/>
        </w:rPr>
        <w:t>m</w:t>
      </w:r>
      <w:r w:rsidRPr="005857AA">
        <w:rPr>
          <w:rFonts w:ascii="Helvetica" w:hAnsi="Helvetica" w:cs="Helvetica"/>
          <w:spacing w:val="-5"/>
          <w:sz w:val="22"/>
          <w:szCs w:val="22"/>
        </w:rPr>
        <w:t>i</w:t>
      </w:r>
      <w:r w:rsidRPr="005857AA">
        <w:rPr>
          <w:rFonts w:ascii="Helvetica" w:hAnsi="Helvetica" w:cs="Helvetica"/>
          <w:spacing w:val="-2"/>
          <w:sz w:val="22"/>
          <w:szCs w:val="22"/>
        </w:rPr>
        <w:t>n</w:t>
      </w:r>
      <w:r w:rsidRPr="005857AA">
        <w:rPr>
          <w:rFonts w:ascii="Helvetica" w:hAnsi="Helvetica" w:cs="Helvetica"/>
          <w:spacing w:val="-5"/>
          <w:sz w:val="22"/>
          <w:szCs w:val="22"/>
        </w:rPr>
        <w:t>i</w:t>
      </w:r>
      <w:r w:rsidRPr="005857AA">
        <w:rPr>
          <w:rFonts w:ascii="Helvetica" w:hAnsi="Helvetica" w:cs="Helvetica"/>
          <w:spacing w:val="-4"/>
          <w:sz w:val="22"/>
          <w:szCs w:val="22"/>
        </w:rPr>
        <w:t>s</w:t>
      </w:r>
      <w:r w:rsidRPr="005857AA">
        <w:rPr>
          <w:rFonts w:ascii="Helvetica" w:hAnsi="Helvetica" w:cs="Helvetica"/>
          <w:spacing w:val="-3"/>
          <w:sz w:val="22"/>
          <w:szCs w:val="22"/>
        </w:rPr>
        <w:t>tr</w:t>
      </w:r>
      <w:r w:rsidRPr="005857AA">
        <w:rPr>
          <w:rFonts w:ascii="Helvetica" w:hAnsi="Helvetica" w:cs="Helvetica"/>
          <w:spacing w:val="-4"/>
          <w:sz w:val="22"/>
          <w:szCs w:val="22"/>
        </w:rPr>
        <w:t>a</w:t>
      </w:r>
      <w:r w:rsidRPr="005857AA">
        <w:rPr>
          <w:rFonts w:ascii="Helvetica" w:hAnsi="Helvetica" w:cs="Helvetica"/>
          <w:spacing w:val="-3"/>
          <w:sz w:val="22"/>
          <w:szCs w:val="22"/>
        </w:rPr>
        <w:t>t</w:t>
      </w:r>
      <w:r w:rsidRPr="005857AA">
        <w:rPr>
          <w:rFonts w:ascii="Helvetica" w:hAnsi="Helvetica" w:cs="Helvetica"/>
          <w:spacing w:val="-5"/>
          <w:sz w:val="22"/>
          <w:szCs w:val="22"/>
        </w:rPr>
        <w:t>i</w:t>
      </w:r>
      <w:r w:rsidRPr="005857AA">
        <w:rPr>
          <w:rFonts w:ascii="Helvetica" w:hAnsi="Helvetica" w:cs="Helvetica"/>
          <w:spacing w:val="-6"/>
          <w:sz w:val="22"/>
          <w:szCs w:val="22"/>
        </w:rPr>
        <w:t>v</w:t>
      </w:r>
      <w:r w:rsidRPr="005857AA">
        <w:rPr>
          <w:rFonts w:ascii="Helvetica" w:hAnsi="Helvetica" w:cs="Helvetica"/>
          <w:spacing w:val="-4"/>
          <w:sz w:val="22"/>
          <w:szCs w:val="22"/>
        </w:rPr>
        <w:t>o</w:t>
      </w:r>
      <w:r w:rsidRPr="005857AA">
        <w:rPr>
          <w:rFonts w:ascii="Helvetica" w:hAnsi="Helvetica" w:cs="Helvetica"/>
          <w:sz w:val="22"/>
          <w:szCs w:val="22"/>
        </w:rPr>
        <w:t>,</w:t>
      </w:r>
      <w:r w:rsidRPr="005857AA">
        <w:rPr>
          <w:rFonts w:ascii="Helvetica" w:hAnsi="Helvetica" w:cs="Helvetica"/>
          <w:spacing w:val="24"/>
          <w:sz w:val="22"/>
          <w:szCs w:val="22"/>
        </w:rPr>
        <w:t xml:space="preserve"> </w:t>
      </w:r>
      <w:r w:rsidRPr="005857AA">
        <w:rPr>
          <w:rFonts w:ascii="Helvetica" w:hAnsi="Helvetica" w:cs="Helvetica"/>
          <w:spacing w:val="-4"/>
          <w:sz w:val="22"/>
          <w:szCs w:val="22"/>
        </w:rPr>
        <w:t>e</w:t>
      </w:r>
      <w:r w:rsidRPr="005857AA">
        <w:rPr>
          <w:rFonts w:ascii="Helvetica" w:hAnsi="Helvetica" w:cs="Helvetica"/>
          <w:sz w:val="22"/>
          <w:szCs w:val="22"/>
        </w:rPr>
        <w:t>l</w:t>
      </w:r>
      <w:r w:rsidRPr="005857AA">
        <w:rPr>
          <w:rFonts w:ascii="Helvetica" w:hAnsi="Helvetica" w:cs="Helvetica"/>
          <w:spacing w:val="19"/>
          <w:sz w:val="22"/>
          <w:szCs w:val="22"/>
        </w:rPr>
        <w:t xml:space="preserve"> </w:t>
      </w:r>
      <w:r w:rsidRPr="005857AA">
        <w:rPr>
          <w:rFonts w:ascii="Helvetica" w:hAnsi="Helvetica" w:cs="Helvetica"/>
          <w:spacing w:val="-2"/>
          <w:sz w:val="22"/>
          <w:szCs w:val="22"/>
        </w:rPr>
        <w:t>s</w:t>
      </w:r>
      <w:r w:rsidRPr="005857AA">
        <w:rPr>
          <w:rFonts w:ascii="Helvetica" w:hAnsi="Helvetica" w:cs="Helvetica"/>
          <w:spacing w:val="-5"/>
          <w:sz w:val="22"/>
          <w:szCs w:val="22"/>
        </w:rPr>
        <w:t>i</w:t>
      </w:r>
      <w:r w:rsidRPr="005857AA">
        <w:rPr>
          <w:rFonts w:ascii="Helvetica" w:hAnsi="Helvetica" w:cs="Helvetica"/>
          <w:spacing w:val="-4"/>
          <w:sz w:val="22"/>
          <w:szCs w:val="22"/>
        </w:rPr>
        <w:t>s</w:t>
      </w:r>
      <w:r w:rsidRPr="005857AA">
        <w:rPr>
          <w:rFonts w:ascii="Helvetica" w:hAnsi="Helvetica" w:cs="Helvetica"/>
          <w:spacing w:val="-3"/>
          <w:sz w:val="22"/>
          <w:szCs w:val="22"/>
        </w:rPr>
        <w:t>t</w:t>
      </w:r>
      <w:r w:rsidRPr="005857AA">
        <w:rPr>
          <w:rFonts w:ascii="Helvetica" w:hAnsi="Helvetica" w:cs="Helvetica"/>
          <w:spacing w:val="-4"/>
          <w:sz w:val="22"/>
          <w:szCs w:val="22"/>
        </w:rPr>
        <w:t>e</w:t>
      </w:r>
      <w:r w:rsidRPr="005857AA">
        <w:rPr>
          <w:rFonts w:ascii="Helvetica" w:hAnsi="Helvetica" w:cs="Helvetica"/>
          <w:spacing w:val="-3"/>
          <w:sz w:val="22"/>
          <w:szCs w:val="22"/>
        </w:rPr>
        <w:t>m</w:t>
      </w:r>
      <w:r w:rsidRPr="005857AA">
        <w:rPr>
          <w:rFonts w:ascii="Helvetica" w:hAnsi="Helvetica" w:cs="Helvetica"/>
          <w:spacing w:val="-4"/>
          <w:sz w:val="22"/>
          <w:szCs w:val="22"/>
        </w:rPr>
        <w:t>a</w:t>
      </w:r>
      <w:r w:rsidRPr="005857AA">
        <w:rPr>
          <w:rFonts w:ascii="Helvetica" w:hAnsi="Helvetica" w:cs="Helvetica"/>
          <w:spacing w:val="22"/>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e</w:t>
      </w:r>
      <w:r w:rsidRPr="005857AA">
        <w:rPr>
          <w:rFonts w:ascii="Helvetica" w:hAnsi="Helvetica" w:cs="Helvetica"/>
          <w:spacing w:val="20"/>
          <w:sz w:val="22"/>
          <w:szCs w:val="22"/>
        </w:rPr>
        <w:t xml:space="preserve"> </w:t>
      </w:r>
      <w:r w:rsidRPr="005857AA">
        <w:rPr>
          <w:rFonts w:ascii="Helvetica" w:hAnsi="Helvetica" w:cs="Helvetica"/>
          <w:spacing w:val="-4"/>
          <w:sz w:val="22"/>
          <w:szCs w:val="22"/>
        </w:rPr>
        <w:t>c</w:t>
      </w:r>
      <w:r w:rsidRPr="005857AA">
        <w:rPr>
          <w:rFonts w:ascii="Helvetica" w:hAnsi="Helvetica" w:cs="Helvetica"/>
          <w:spacing w:val="-2"/>
          <w:sz w:val="22"/>
          <w:szCs w:val="22"/>
        </w:rPr>
        <w:t>o</w:t>
      </w:r>
      <w:r w:rsidRPr="005857AA">
        <w:rPr>
          <w:rFonts w:ascii="Helvetica" w:hAnsi="Helvetica" w:cs="Helvetica"/>
          <w:spacing w:val="-4"/>
          <w:sz w:val="22"/>
          <w:szCs w:val="22"/>
        </w:rPr>
        <w:t>n</w:t>
      </w:r>
      <w:r w:rsidRPr="005857AA">
        <w:rPr>
          <w:rFonts w:ascii="Helvetica" w:hAnsi="Helvetica" w:cs="Helvetica"/>
          <w:spacing w:val="-3"/>
          <w:sz w:val="22"/>
          <w:szCs w:val="22"/>
        </w:rPr>
        <w:t>tr</w:t>
      </w:r>
      <w:r w:rsidRPr="005857AA">
        <w:rPr>
          <w:rFonts w:ascii="Helvetica" w:hAnsi="Helvetica" w:cs="Helvetica"/>
          <w:spacing w:val="-4"/>
          <w:sz w:val="22"/>
          <w:szCs w:val="22"/>
        </w:rPr>
        <w:t>o</w:t>
      </w:r>
      <w:r w:rsidRPr="005857AA">
        <w:rPr>
          <w:rFonts w:ascii="Helvetica" w:hAnsi="Helvetica" w:cs="Helvetica"/>
          <w:sz w:val="22"/>
          <w:szCs w:val="22"/>
        </w:rPr>
        <w:t>l</w:t>
      </w:r>
      <w:r w:rsidRPr="005857AA">
        <w:rPr>
          <w:rFonts w:ascii="Helvetica" w:hAnsi="Helvetica" w:cs="Helvetica"/>
          <w:spacing w:val="19"/>
          <w:sz w:val="22"/>
          <w:szCs w:val="22"/>
        </w:rPr>
        <w:t xml:space="preserve"> </w:t>
      </w:r>
      <w:r w:rsidRPr="005857AA">
        <w:rPr>
          <w:rFonts w:ascii="Helvetica" w:hAnsi="Helvetica" w:cs="Helvetica"/>
          <w:spacing w:val="-3"/>
          <w:sz w:val="22"/>
          <w:szCs w:val="22"/>
        </w:rPr>
        <w:t>i</w:t>
      </w:r>
      <w:r w:rsidRPr="005857AA">
        <w:rPr>
          <w:rFonts w:ascii="Helvetica" w:hAnsi="Helvetica" w:cs="Helvetica"/>
          <w:spacing w:val="-4"/>
          <w:sz w:val="22"/>
          <w:szCs w:val="22"/>
        </w:rPr>
        <w:t>n</w:t>
      </w:r>
      <w:r w:rsidRPr="005857AA">
        <w:rPr>
          <w:rFonts w:ascii="Helvetica" w:hAnsi="Helvetica" w:cs="Helvetica"/>
          <w:spacing w:val="-3"/>
          <w:sz w:val="22"/>
          <w:szCs w:val="22"/>
        </w:rPr>
        <w:t>t</w:t>
      </w:r>
      <w:r w:rsidRPr="005857AA">
        <w:rPr>
          <w:rFonts w:ascii="Helvetica" w:hAnsi="Helvetica" w:cs="Helvetica"/>
          <w:spacing w:val="-4"/>
          <w:sz w:val="22"/>
          <w:szCs w:val="22"/>
        </w:rPr>
        <w:t>e</w:t>
      </w:r>
      <w:r w:rsidRPr="005857AA">
        <w:rPr>
          <w:rFonts w:ascii="Helvetica" w:hAnsi="Helvetica" w:cs="Helvetica"/>
          <w:spacing w:val="-3"/>
          <w:sz w:val="22"/>
          <w:szCs w:val="22"/>
        </w:rPr>
        <w:t>r</w:t>
      </w:r>
      <w:r w:rsidRPr="005857AA">
        <w:rPr>
          <w:rFonts w:ascii="Helvetica" w:hAnsi="Helvetica" w:cs="Helvetica"/>
          <w:spacing w:val="-4"/>
          <w:sz w:val="22"/>
          <w:szCs w:val="22"/>
        </w:rPr>
        <w:t>n</w:t>
      </w:r>
      <w:r w:rsidRPr="005857AA">
        <w:rPr>
          <w:rFonts w:ascii="Helvetica" w:hAnsi="Helvetica" w:cs="Helvetica"/>
          <w:sz w:val="22"/>
          <w:szCs w:val="22"/>
        </w:rPr>
        <w:t>o</w:t>
      </w:r>
      <w:r w:rsidRPr="005857AA">
        <w:rPr>
          <w:rFonts w:ascii="Helvetica" w:hAnsi="Helvetica" w:cs="Helvetica"/>
          <w:spacing w:val="20"/>
          <w:sz w:val="22"/>
          <w:szCs w:val="22"/>
        </w:rPr>
        <w:t xml:space="preserve"> </w:t>
      </w:r>
      <w:r w:rsidRPr="005857AA">
        <w:rPr>
          <w:rFonts w:ascii="Helvetica" w:hAnsi="Helvetica" w:cs="Helvetica"/>
          <w:spacing w:val="-4"/>
          <w:sz w:val="22"/>
          <w:szCs w:val="22"/>
        </w:rPr>
        <w:t xml:space="preserve">y </w:t>
      </w:r>
      <w:r w:rsidRPr="005857AA">
        <w:rPr>
          <w:rFonts w:ascii="Helvetica" w:hAnsi="Helvetica" w:cs="Helvetica"/>
          <w:spacing w:val="-5"/>
          <w:sz w:val="22"/>
          <w:szCs w:val="22"/>
        </w:rPr>
        <w:t>l</w:t>
      </w:r>
      <w:r w:rsidRPr="005857AA">
        <w:rPr>
          <w:rFonts w:ascii="Helvetica" w:hAnsi="Helvetica" w:cs="Helvetica"/>
          <w:spacing w:val="-4"/>
          <w:sz w:val="22"/>
          <w:szCs w:val="22"/>
        </w:rPr>
        <w:t>o</w:t>
      </w:r>
      <w:r w:rsidRPr="005857AA">
        <w:rPr>
          <w:rFonts w:ascii="Helvetica" w:hAnsi="Helvetica" w:cs="Helvetica"/>
          <w:sz w:val="22"/>
          <w:szCs w:val="22"/>
        </w:rPr>
        <w:t>s</w:t>
      </w:r>
      <w:r w:rsidRPr="005857AA">
        <w:rPr>
          <w:rFonts w:ascii="Helvetica" w:hAnsi="Helvetica" w:cs="Helvetica"/>
          <w:spacing w:val="-5"/>
          <w:sz w:val="22"/>
          <w:szCs w:val="22"/>
        </w:rPr>
        <w:t xml:space="preserve"> </w:t>
      </w:r>
      <w:r w:rsidRPr="005857AA">
        <w:rPr>
          <w:rFonts w:ascii="Helvetica" w:hAnsi="Helvetica" w:cs="Helvetica"/>
          <w:spacing w:val="-4"/>
          <w:sz w:val="22"/>
          <w:szCs w:val="22"/>
        </w:rPr>
        <w:t>p</w:t>
      </w:r>
      <w:r w:rsidRPr="005857AA">
        <w:rPr>
          <w:rFonts w:ascii="Helvetica" w:hAnsi="Helvetica" w:cs="Helvetica"/>
          <w:spacing w:val="-5"/>
          <w:sz w:val="22"/>
          <w:szCs w:val="22"/>
        </w:rPr>
        <w:t>l</w:t>
      </w:r>
      <w:r w:rsidRPr="005857AA">
        <w:rPr>
          <w:rFonts w:ascii="Helvetica" w:hAnsi="Helvetica" w:cs="Helvetica"/>
          <w:spacing w:val="-4"/>
          <w:sz w:val="22"/>
          <w:szCs w:val="22"/>
        </w:rPr>
        <w:t>ane</w:t>
      </w:r>
      <w:r w:rsidRPr="005857AA">
        <w:rPr>
          <w:rFonts w:ascii="Helvetica" w:hAnsi="Helvetica" w:cs="Helvetica"/>
          <w:sz w:val="22"/>
          <w:szCs w:val="22"/>
        </w:rPr>
        <w:t>s</w:t>
      </w:r>
      <w:r w:rsidRPr="005857AA">
        <w:rPr>
          <w:rFonts w:ascii="Helvetica" w:hAnsi="Helvetica" w:cs="Helvetica"/>
          <w:spacing w:val="-5"/>
          <w:sz w:val="22"/>
          <w:szCs w:val="22"/>
        </w:rPr>
        <w:t xml:space="preserve"> </w:t>
      </w:r>
      <w:r w:rsidRPr="005857AA">
        <w:rPr>
          <w:rFonts w:ascii="Helvetica" w:hAnsi="Helvetica" w:cs="Helvetica"/>
          <w:spacing w:val="-4"/>
          <w:sz w:val="22"/>
          <w:szCs w:val="22"/>
        </w:rPr>
        <w:t>es</w:t>
      </w:r>
      <w:r w:rsidRPr="005857AA">
        <w:rPr>
          <w:rFonts w:ascii="Helvetica" w:hAnsi="Helvetica" w:cs="Helvetica"/>
          <w:spacing w:val="-3"/>
          <w:sz w:val="22"/>
          <w:szCs w:val="22"/>
        </w:rPr>
        <w:t>tr</w:t>
      </w:r>
      <w:r w:rsidRPr="005857AA">
        <w:rPr>
          <w:rFonts w:ascii="Helvetica" w:hAnsi="Helvetica" w:cs="Helvetica"/>
          <w:spacing w:val="-4"/>
          <w:sz w:val="22"/>
          <w:szCs w:val="22"/>
        </w:rPr>
        <w:t>a</w:t>
      </w:r>
      <w:r w:rsidRPr="005857AA">
        <w:rPr>
          <w:rFonts w:ascii="Helvetica" w:hAnsi="Helvetica" w:cs="Helvetica"/>
          <w:spacing w:val="-3"/>
          <w:sz w:val="22"/>
          <w:szCs w:val="22"/>
        </w:rPr>
        <w:t>t</w:t>
      </w:r>
      <w:r w:rsidRPr="005857AA">
        <w:rPr>
          <w:rFonts w:ascii="Helvetica" w:hAnsi="Helvetica" w:cs="Helvetica"/>
          <w:spacing w:val="-4"/>
          <w:sz w:val="22"/>
          <w:szCs w:val="22"/>
        </w:rPr>
        <w:t>é</w:t>
      </w:r>
      <w:r w:rsidRPr="005857AA">
        <w:rPr>
          <w:rFonts w:ascii="Helvetica" w:hAnsi="Helvetica" w:cs="Helvetica"/>
          <w:spacing w:val="-2"/>
          <w:sz w:val="22"/>
          <w:szCs w:val="22"/>
        </w:rPr>
        <w:t>g</w:t>
      </w:r>
      <w:r w:rsidRPr="005857AA">
        <w:rPr>
          <w:rFonts w:ascii="Helvetica" w:hAnsi="Helvetica" w:cs="Helvetica"/>
          <w:spacing w:val="-5"/>
          <w:sz w:val="22"/>
          <w:szCs w:val="22"/>
        </w:rPr>
        <w:t>i</w:t>
      </w:r>
      <w:r w:rsidRPr="005857AA">
        <w:rPr>
          <w:rFonts w:ascii="Helvetica" w:hAnsi="Helvetica" w:cs="Helvetica"/>
          <w:spacing w:val="-4"/>
          <w:sz w:val="22"/>
          <w:szCs w:val="22"/>
        </w:rPr>
        <w:t>co</w:t>
      </w:r>
      <w:r w:rsidRPr="005857AA">
        <w:rPr>
          <w:rFonts w:ascii="Helvetica" w:hAnsi="Helvetica" w:cs="Helvetica"/>
          <w:sz w:val="22"/>
          <w:szCs w:val="22"/>
        </w:rPr>
        <w:t>s</w:t>
      </w:r>
      <w:r w:rsidRPr="005857AA">
        <w:rPr>
          <w:rFonts w:ascii="Helvetica" w:hAnsi="Helvetica" w:cs="Helvetica"/>
          <w:spacing w:val="-5"/>
          <w:sz w:val="22"/>
          <w:szCs w:val="22"/>
        </w:rPr>
        <w:t xml:space="preserve"> </w:t>
      </w:r>
      <w:r w:rsidRPr="005857AA">
        <w:rPr>
          <w:rFonts w:ascii="Helvetica" w:hAnsi="Helvetica" w:cs="Helvetica"/>
          <w:spacing w:val="-4"/>
          <w:sz w:val="22"/>
          <w:szCs w:val="22"/>
        </w:rPr>
        <w:t>es</w:t>
      </w:r>
      <w:r w:rsidRPr="005857AA">
        <w:rPr>
          <w:rFonts w:ascii="Helvetica" w:hAnsi="Helvetica" w:cs="Helvetica"/>
          <w:spacing w:val="-3"/>
          <w:sz w:val="22"/>
          <w:szCs w:val="22"/>
        </w:rPr>
        <w:t>t</w:t>
      </w:r>
      <w:r w:rsidRPr="005857AA">
        <w:rPr>
          <w:rFonts w:ascii="Helvetica" w:hAnsi="Helvetica" w:cs="Helvetica"/>
          <w:spacing w:val="-4"/>
          <w:sz w:val="22"/>
          <w:szCs w:val="22"/>
        </w:rPr>
        <w:t>ab</w:t>
      </w:r>
      <w:r w:rsidRPr="005857AA">
        <w:rPr>
          <w:rFonts w:ascii="Helvetica" w:hAnsi="Helvetica" w:cs="Helvetica"/>
          <w:spacing w:val="-5"/>
          <w:sz w:val="22"/>
          <w:szCs w:val="22"/>
        </w:rPr>
        <w:t>l</w:t>
      </w:r>
      <w:r w:rsidRPr="005857AA">
        <w:rPr>
          <w:rFonts w:ascii="Helvetica" w:hAnsi="Helvetica" w:cs="Helvetica"/>
          <w:spacing w:val="-4"/>
          <w:sz w:val="22"/>
          <w:szCs w:val="22"/>
        </w:rPr>
        <w:t>ec</w:t>
      </w:r>
      <w:r w:rsidRPr="005857AA">
        <w:rPr>
          <w:rFonts w:ascii="Helvetica" w:hAnsi="Helvetica" w:cs="Helvetica"/>
          <w:spacing w:val="-5"/>
          <w:sz w:val="22"/>
          <w:szCs w:val="22"/>
        </w:rPr>
        <w:t>i</w:t>
      </w:r>
      <w:r w:rsidRPr="005857AA">
        <w:rPr>
          <w:rFonts w:ascii="Helvetica" w:hAnsi="Helvetica" w:cs="Helvetica"/>
          <w:spacing w:val="-4"/>
          <w:sz w:val="22"/>
          <w:szCs w:val="22"/>
        </w:rPr>
        <w:t>dos</w:t>
      </w:r>
      <w:r w:rsidRPr="005857AA">
        <w:rPr>
          <w:rFonts w:ascii="Helvetica" w:hAnsi="Helvetica" w:cs="Helvetica"/>
          <w:b/>
          <w:bCs/>
          <w:spacing w:val="-4"/>
          <w:sz w:val="22"/>
          <w:szCs w:val="22"/>
        </w:rPr>
        <w:t>;? .  .  y se concluye que  . . SI</w:t>
      </w:r>
    </w:p>
    <w:p w:rsidR="004720DC" w:rsidRPr="005857AA" w:rsidRDefault="004720DC" w:rsidP="004720DC">
      <w:pPr>
        <w:widowControl w:val="0"/>
        <w:autoSpaceDE w:val="0"/>
        <w:autoSpaceDN w:val="0"/>
        <w:adjustRightInd w:val="0"/>
        <w:spacing w:line="256" w:lineRule="exact"/>
        <w:rPr>
          <w:rFonts w:ascii="Helvetica" w:hAnsi="Helvetica" w:cs="Helvetica"/>
          <w:sz w:val="22"/>
          <w:szCs w:val="22"/>
        </w:rPr>
      </w:pPr>
    </w:p>
    <w:p w:rsidR="004720DC" w:rsidRPr="005857AA" w:rsidRDefault="004720DC" w:rsidP="005857AA">
      <w:pPr>
        <w:widowControl w:val="0"/>
        <w:tabs>
          <w:tab w:val="left" w:pos="1660"/>
        </w:tabs>
        <w:autoSpaceDE w:val="0"/>
        <w:autoSpaceDN w:val="0"/>
        <w:adjustRightInd w:val="0"/>
        <w:spacing w:line="250" w:lineRule="exact"/>
        <w:ind w:right="95"/>
        <w:jc w:val="both"/>
        <w:rPr>
          <w:rFonts w:ascii="Helvetica" w:hAnsi="Helvetica" w:cs="Helvetica"/>
          <w:b/>
          <w:bCs/>
          <w:sz w:val="22"/>
          <w:szCs w:val="22"/>
        </w:rPr>
      </w:pPr>
      <w:r w:rsidRPr="005857AA">
        <w:rPr>
          <w:rFonts w:ascii="Helvetica" w:hAnsi="Helvetica" w:cs="Helvetica"/>
          <w:spacing w:val="-4"/>
          <w:sz w:val="22"/>
          <w:szCs w:val="22"/>
        </w:rPr>
        <w:t>c</w:t>
      </w:r>
      <w:r w:rsidRPr="005857AA">
        <w:rPr>
          <w:rFonts w:ascii="Helvetica" w:hAnsi="Helvetica" w:cs="Helvetica"/>
          <w:sz w:val="22"/>
          <w:szCs w:val="22"/>
        </w:rPr>
        <w:t>)</w:t>
      </w:r>
      <w:r w:rsidRPr="005857AA">
        <w:rPr>
          <w:rFonts w:ascii="Helvetica" w:hAnsi="Helvetica" w:cs="Helvetica"/>
          <w:sz w:val="22"/>
          <w:szCs w:val="22"/>
        </w:rPr>
        <w:tab/>
        <w:t xml:space="preserve">La política </w:t>
      </w:r>
      <w:r w:rsidRPr="005857AA">
        <w:rPr>
          <w:rFonts w:ascii="Helvetica" w:hAnsi="Helvetica" w:cs="Helvetica"/>
          <w:spacing w:val="-5"/>
          <w:sz w:val="22"/>
          <w:szCs w:val="22"/>
        </w:rPr>
        <w:t>i</w:t>
      </w:r>
      <w:r w:rsidRPr="005857AA">
        <w:rPr>
          <w:rFonts w:ascii="Helvetica" w:hAnsi="Helvetica" w:cs="Helvetica"/>
          <w:spacing w:val="-4"/>
          <w:sz w:val="22"/>
          <w:szCs w:val="22"/>
        </w:rPr>
        <w:t>nc</w:t>
      </w:r>
      <w:r w:rsidRPr="005857AA">
        <w:rPr>
          <w:rFonts w:ascii="Helvetica" w:hAnsi="Helvetica" w:cs="Helvetica"/>
          <w:spacing w:val="-5"/>
          <w:sz w:val="22"/>
          <w:szCs w:val="22"/>
        </w:rPr>
        <w:t>l</w:t>
      </w:r>
      <w:r w:rsidRPr="005857AA">
        <w:rPr>
          <w:rFonts w:ascii="Helvetica" w:hAnsi="Helvetica" w:cs="Helvetica"/>
          <w:spacing w:val="-2"/>
          <w:sz w:val="22"/>
          <w:szCs w:val="22"/>
        </w:rPr>
        <w:t>u</w:t>
      </w:r>
      <w:r w:rsidRPr="005857AA">
        <w:rPr>
          <w:rFonts w:ascii="Helvetica" w:hAnsi="Helvetica" w:cs="Helvetica"/>
          <w:spacing w:val="-4"/>
          <w:sz w:val="22"/>
          <w:szCs w:val="22"/>
        </w:rPr>
        <w:t>ye</w:t>
      </w:r>
      <w:r w:rsidRPr="005857AA">
        <w:rPr>
          <w:rFonts w:ascii="Helvetica" w:hAnsi="Helvetica" w:cs="Helvetica"/>
          <w:spacing w:val="17"/>
          <w:sz w:val="22"/>
          <w:szCs w:val="22"/>
        </w:rPr>
        <w:t xml:space="preserve"> </w:t>
      </w:r>
      <w:r w:rsidRPr="005857AA">
        <w:rPr>
          <w:rFonts w:ascii="Helvetica" w:hAnsi="Helvetica" w:cs="Helvetica"/>
          <w:spacing w:val="-4"/>
          <w:sz w:val="22"/>
          <w:szCs w:val="22"/>
        </w:rPr>
        <w:t>u</w:t>
      </w:r>
      <w:r w:rsidRPr="005857AA">
        <w:rPr>
          <w:rFonts w:ascii="Helvetica" w:hAnsi="Helvetica" w:cs="Helvetica"/>
          <w:sz w:val="22"/>
          <w:szCs w:val="22"/>
        </w:rPr>
        <w:t>n</w:t>
      </w:r>
      <w:r w:rsidRPr="005857AA">
        <w:rPr>
          <w:rFonts w:ascii="Helvetica" w:hAnsi="Helvetica" w:cs="Helvetica"/>
          <w:spacing w:val="15"/>
          <w:sz w:val="22"/>
          <w:szCs w:val="22"/>
        </w:rPr>
        <w:t xml:space="preserve"> </w:t>
      </w:r>
      <w:r w:rsidRPr="005857AA">
        <w:rPr>
          <w:rFonts w:ascii="Helvetica" w:hAnsi="Helvetica" w:cs="Helvetica"/>
          <w:spacing w:val="-4"/>
          <w:sz w:val="22"/>
          <w:szCs w:val="22"/>
        </w:rPr>
        <w:t>co</w:t>
      </w:r>
      <w:r w:rsidRPr="005857AA">
        <w:rPr>
          <w:rFonts w:ascii="Helvetica" w:hAnsi="Helvetica" w:cs="Helvetica"/>
          <w:spacing w:val="-3"/>
          <w:sz w:val="22"/>
          <w:szCs w:val="22"/>
        </w:rPr>
        <w:t>m</w:t>
      </w:r>
      <w:r w:rsidRPr="005857AA">
        <w:rPr>
          <w:rFonts w:ascii="Helvetica" w:hAnsi="Helvetica" w:cs="Helvetica"/>
          <w:spacing w:val="-4"/>
          <w:sz w:val="22"/>
          <w:szCs w:val="22"/>
        </w:rPr>
        <w:t>p</w:t>
      </w:r>
      <w:r w:rsidRPr="005857AA">
        <w:rPr>
          <w:rFonts w:ascii="Helvetica" w:hAnsi="Helvetica" w:cs="Helvetica"/>
          <w:spacing w:val="-3"/>
          <w:sz w:val="22"/>
          <w:szCs w:val="22"/>
        </w:rPr>
        <w:t>r</w:t>
      </w:r>
      <w:r w:rsidRPr="005857AA">
        <w:rPr>
          <w:rFonts w:ascii="Helvetica" w:hAnsi="Helvetica" w:cs="Helvetica"/>
          <w:spacing w:val="-4"/>
          <w:sz w:val="22"/>
          <w:szCs w:val="22"/>
        </w:rPr>
        <w:t>o</w:t>
      </w:r>
      <w:r w:rsidRPr="005857AA">
        <w:rPr>
          <w:rFonts w:ascii="Helvetica" w:hAnsi="Helvetica" w:cs="Helvetica"/>
          <w:spacing w:val="-3"/>
          <w:sz w:val="22"/>
          <w:szCs w:val="22"/>
        </w:rPr>
        <w:t>m</w:t>
      </w:r>
      <w:r w:rsidRPr="005857AA">
        <w:rPr>
          <w:rFonts w:ascii="Helvetica" w:hAnsi="Helvetica" w:cs="Helvetica"/>
          <w:spacing w:val="-5"/>
          <w:sz w:val="22"/>
          <w:szCs w:val="22"/>
        </w:rPr>
        <w:t>i</w:t>
      </w:r>
      <w:r w:rsidRPr="005857AA">
        <w:rPr>
          <w:rFonts w:ascii="Helvetica" w:hAnsi="Helvetica" w:cs="Helvetica"/>
          <w:spacing w:val="-4"/>
          <w:sz w:val="22"/>
          <w:szCs w:val="22"/>
        </w:rPr>
        <w:t>s</w:t>
      </w:r>
      <w:r w:rsidRPr="005857AA">
        <w:rPr>
          <w:rFonts w:ascii="Helvetica" w:hAnsi="Helvetica" w:cs="Helvetica"/>
          <w:sz w:val="22"/>
          <w:szCs w:val="22"/>
        </w:rPr>
        <w:t>o</w:t>
      </w:r>
      <w:r w:rsidRPr="005857AA">
        <w:rPr>
          <w:rFonts w:ascii="Helvetica" w:hAnsi="Helvetica" w:cs="Helvetica"/>
          <w:spacing w:val="15"/>
          <w:sz w:val="22"/>
          <w:szCs w:val="22"/>
        </w:rPr>
        <w:t xml:space="preserve"> </w:t>
      </w:r>
      <w:r w:rsidRPr="005857AA">
        <w:rPr>
          <w:rFonts w:ascii="Helvetica" w:hAnsi="Helvetica" w:cs="Helvetica"/>
          <w:spacing w:val="-7"/>
          <w:sz w:val="22"/>
          <w:szCs w:val="22"/>
        </w:rPr>
        <w:t>d</w:t>
      </w:r>
      <w:r w:rsidRPr="005857AA">
        <w:rPr>
          <w:rFonts w:ascii="Helvetica" w:hAnsi="Helvetica" w:cs="Helvetica"/>
          <w:sz w:val="22"/>
          <w:szCs w:val="22"/>
        </w:rPr>
        <w:t>e</w:t>
      </w:r>
      <w:r w:rsidRPr="005857AA">
        <w:rPr>
          <w:rFonts w:ascii="Helvetica" w:hAnsi="Helvetica" w:cs="Helvetica"/>
          <w:spacing w:val="15"/>
          <w:sz w:val="22"/>
          <w:szCs w:val="22"/>
        </w:rPr>
        <w:t xml:space="preserve"> </w:t>
      </w:r>
      <w:r w:rsidRPr="005857AA">
        <w:rPr>
          <w:rFonts w:ascii="Helvetica" w:hAnsi="Helvetica" w:cs="Helvetica"/>
          <w:spacing w:val="-4"/>
          <w:sz w:val="22"/>
          <w:szCs w:val="22"/>
        </w:rPr>
        <w:t>cu</w:t>
      </w:r>
      <w:r w:rsidRPr="005857AA">
        <w:rPr>
          <w:rFonts w:ascii="Helvetica" w:hAnsi="Helvetica" w:cs="Helvetica"/>
          <w:spacing w:val="-3"/>
          <w:sz w:val="22"/>
          <w:szCs w:val="22"/>
        </w:rPr>
        <w:t>m</w:t>
      </w:r>
      <w:r w:rsidRPr="005857AA">
        <w:rPr>
          <w:rFonts w:ascii="Helvetica" w:hAnsi="Helvetica" w:cs="Helvetica"/>
          <w:spacing w:val="-4"/>
          <w:sz w:val="22"/>
          <w:szCs w:val="22"/>
        </w:rPr>
        <w:t>p</w:t>
      </w:r>
      <w:r w:rsidRPr="005857AA">
        <w:rPr>
          <w:rFonts w:ascii="Helvetica" w:hAnsi="Helvetica" w:cs="Helvetica"/>
          <w:spacing w:val="-5"/>
          <w:sz w:val="22"/>
          <w:szCs w:val="22"/>
        </w:rPr>
        <w:t>li</w:t>
      </w:r>
      <w:r w:rsidRPr="005857AA">
        <w:rPr>
          <w:rFonts w:ascii="Helvetica" w:hAnsi="Helvetica" w:cs="Helvetica"/>
          <w:sz w:val="22"/>
          <w:szCs w:val="22"/>
        </w:rPr>
        <w:t>r</w:t>
      </w:r>
      <w:r w:rsidRPr="005857AA">
        <w:rPr>
          <w:rFonts w:ascii="Helvetica" w:hAnsi="Helvetica" w:cs="Helvetica"/>
          <w:spacing w:val="16"/>
          <w:sz w:val="22"/>
          <w:szCs w:val="22"/>
        </w:rPr>
        <w:t xml:space="preserve"> </w:t>
      </w:r>
      <w:r w:rsidRPr="005857AA">
        <w:rPr>
          <w:rFonts w:ascii="Helvetica" w:hAnsi="Helvetica" w:cs="Helvetica"/>
          <w:spacing w:val="-4"/>
          <w:sz w:val="22"/>
          <w:szCs w:val="22"/>
        </w:rPr>
        <w:t>co</w:t>
      </w:r>
      <w:r w:rsidRPr="005857AA">
        <w:rPr>
          <w:rFonts w:ascii="Helvetica" w:hAnsi="Helvetica" w:cs="Helvetica"/>
          <w:sz w:val="22"/>
          <w:szCs w:val="22"/>
        </w:rPr>
        <w:t>n</w:t>
      </w:r>
      <w:r w:rsidRPr="005857AA">
        <w:rPr>
          <w:rFonts w:ascii="Helvetica" w:hAnsi="Helvetica" w:cs="Helvetica"/>
          <w:spacing w:val="15"/>
          <w:sz w:val="22"/>
          <w:szCs w:val="22"/>
        </w:rPr>
        <w:t xml:space="preserve"> </w:t>
      </w:r>
      <w:r w:rsidRPr="005857AA">
        <w:rPr>
          <w:rFonts w:ascii="Helvetica" w:hAnsi="Helvetica" w:cs="Helvetica"/>
          <w:spacing w:val="-5"/>
          <w:sz w:val="22"/>
          <w:szCs w:val="22"/>
        </w:rPr>
        <w:t>l</w:t>
      </w:r>
      <w:r w:rsidRPr="005857AA">
        <w:rPr>
          <w:rFonts w:ascii="Helvetica" w:hAnsi="Helvetica" w:cs="Helvetica"/>
          <w:spacing w:val="-4"/>
          <w:sz w:val="22"/>
          <w:szCs w:val="22"/>
        </w:rPr>
        <w:t>o</w:t>
      </w:r>
      <w:r w:rsidRPr="005857AA">
        <w:rPr>
          <w:rFonts w:ascii="Helvetica" w:hAnsi="Helvetica" w:cs="Helvetica"/>
          <w:sz w:val="22"/>
          <w:szCs w:val="22"/>
        </w:rPr>
        <w:t>s</w:t>
      </w:r>
      <w:r w:rsidRPr="005857AA">
        <w:rPr>
          <w:rFonts w:ascii="Helvetica" w:hAnsi="Helvetica" w:cs="Helvetica"/>
          <w:spacing w:val="15"/>
          <w:sz w:val="22"/>
          <w:szCs w:val="22"/>
        </w:rPr>
        <w:t xml:space="preserve"> </w:t>
      </w:r>
      <w:r w:rsidRPr="005857AA">
        <w:rPr>
          <w:rFonts w:ascii="Helvetica" w:hAnsi="Helvetica" w:cs="Helvetica"/>
          <w:spacing w:val="-3"/>
          <w:sz w:val="22"/>
          <w:szCs w:val="22"/>
        </w:rPr>
        <w:t>r</w:t>
      </w:r>
      <w:r w:rsidRPr="005857AA">
        <w:rPr>
          <w:rFonts w:ascii="Helvetica" w:hAnsi="Helvetica" w:cs="Helvetica"/>
          <w:spacing w:val="-4"/>
          <w:sz w:val="22"/>
          <w:szCs w:val="22"/>
        </w:rPr>
        <w:t>e</w:t>
      </w:r>
      <w:r w:rsidRPr="005857AA">
        <w:rPr>
          <w:rFonts w:ascii="Helvetica" w:hAnsi="Helvetica" w:cs="Helvetica"/>
          <w:spacing w:val="-2"/>
          <w:sz w:val="22"/>
          <w:szCs w:val="22"/>
        </w:rPr>
        <w:t>q</w:t>
      </w:r>
      <w:r w:rsidRPr="005857AA">
        <w:rPr>
          <w:rFonts w:ascii="Helvetica" w:hAnsi="Helvetica" w:cs="Helvetica"/>
          <w:spacing w:val="-4"/>
          <w:sz w:val="22"/>
          <w:szCs w:val="22"/>
        </w:rPr>
        <w:t>u</w:t>
      </w:r>
      <w:r w:rsidRPr="005857AA">
        <w:rPr>
          <w:rFonts w:ascii="Helvetica" w:hAnsi="Helvetica" w:cs="Helvetica"/>
          <w:spacing w:val="-5"/>
          <w:sz w:val="22"/>
          <w:szCs w:val="22"/>
        </w:rPr>
        <w:t>i</w:t>
      </w:r>
      <w:r w:rsidRPr="005857AA">
        <w:rPr>
          <w:rFonts w:ascii="Helvetica" w:hAnsi="Helvetica" w:cs="Helvetica"/>
          <w:spacing w:val="-4"/>
          <w:sz w:val="22"/>
          <w:szCs w:val="22"/>
        </w:rPr>
        <w:t>s</w:t>
      </w:r>
      <w:r w:rsidRPr="005857AA">
        <w:rPr>
          <w:rFonts w:ascii="Helvetica" w:hAnsi="Helvetica" w:cs="Helvetica"/>
          <w:spacing w:val="-5"/>
          <w:sz w:val="22"/>
          <w:szCs w:val="22"/>
        </w:rPr>
        <w:t>i</w:t>
      </w:r>
      <w:r w:rsidRPr="005857AA">
        <w:rPr>
          <w:rFonts w:ascii="Helvetica" w:hAnsi="Helvetica" w:cs="Helvetica"/>
          <w:spacing w:val="-3"/>
          <w:sz w:val="22"/>
          <w:szCs w:val="22"/>
        </w:rPr>
        <w:t>t</w:t>
      </w:r>
      <w:r w:rsidRPr="005857AA">
        <w:rPr>
          <w:rFonts w:ascii="Helvetica" w:hAnsi="Helvetica" w:cs="Helvetica"/>
          <w:spacing w:val="-4"/>
          <w:sz w:val="22"/>
          <w:szCs w:val="22"/>
        </w:rPr>
        <w:t>o</w:t>
      </w:r>
      <w:r w:rsidRPr="005857AA">
        <w:rPr>
          <w:rFonts w:ascii="Helvetica" w:hAnsi="Helvetica" w:cs="Helvetica"/>
          <w:sz w:val="22"/>
          <w:szCs w:val="22"/>
        </w:rPr>
        <w:t>s</w:t>
      </w:r>
      <w:r w:rsidRPr="005857AA">
        <w:rPr>
          <w:rFonts w:ascii="Helvetica" w:hAnsi="Helvetica" w:cs="Helvetica"/>
          <w:spacing w:val="15"/>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e</w:t>
      </w:r>
      <w:r w:rsidRPr="005857AA">
        <w:rPr>
          <w:rFonts w:ascii="Helvetica" w:hAnsi="Helvetica" w:cs="Helvetica"/>
          <w:spacing w:val="15"/>
          <w:sz w:val="22"/>
          <w:szCs w:val="22"/>
        </w:rPr>
        <w:t xml:space="preserve"> </w:t>
      </w:r>
      <w:r w:rsidRPr="005857AA">
        <w:rPr>
          <w:rFonts w:ascii="Helvetica" w:hAnsi="Helvetica" w:cs="Helvetica"/>
          <w:spacing w:val="-4"/>
          <w:sz w:val="22"/>
          <w:szCs w:val="22"/>
        </w:rPr>
        <w:t>sus</w:t>
      </w:r>
      <w:r w:rsidRPr="005857AA">
        <w:rPr>
          <w:rFonts w:ascii="Helvetica" w:hAnsi="Helvetica" w:cs="Helvetica"/>
          <w:spacing w:val="17"/>
          <w:sz w:val="22"/>
          <w:szCs w:val="22"/>
        </w:rPr>
        <w:t xml:space="preserve"> </w:t>
      </w:r>
      <w:r w:rsidRPr="005857AA">
        <w:rPr>
          <w:rFonts w:ascii="Helvetica" w:hAnsi="Helvetica" w:cs="Helvetica"/>
          <w:spacing w:val="-4"/>
          <w:sz w:val="22"/>
          <w:szCs w:val="22"/>
        </w:rPr>
        <w:t>c</w:t>
      </w:r>
      <w:r w:rsidRPr="005857AA">
        <w:rPr>
          <w:rFonts w:ascii="Helvetica" w:hAnsi="Helvetica" w:cs="Helvetica"/>
          <w:spacing w:val="-5"/>
          <w:sz w:val="22"/>
          <w:szCs w:val="22"/>
        </w:rPr>
        <w:t>li</w:t>
      </w:r>
      <w:r w:rsidRPr="005857AA">
        <w:rPr>
          <w:rFonts w:ascii="Helvetica" w:hAnsi="Helvetica" w:cs="Helvetica"/>
          <w:spacing w:val="-4"/>
          <w:sz w:val="22"/>
          <w:szCs w:val="22"/>
        </w:rPr>
        <w:t>en</w:t>
      </w:r>
      <w:r w:rsidRPr="005857AA">
        <w:rPr>
          <w:rFonts w:ascii="Helvetica" w:hAnsi="Helvetica" w:cs="Helvetica"/>
          <w:spacing w:val="-3"/>
          <w:sz w:val="22"/>
          <w:szCs w:val="22"/>
        </w:rPr>
        <w:t>t</w:t>
      </w:r>
      <w:r w:rsidRPr="005857AA">
        <w:rPr>
          <w:rFonts w:ascii="Helvetica" w:hAnsi="Helvetica" w:cs="Helvetica"/>
          <w:spacing w:val="-4"/>
          <w:sz w:val="22"/>
          <w:szCs w:val="22"/>
        </w:rPr>
        <w:t>es</w:t>
      </w:r>
      <w:r w:rsidRPr="005857AA">
        <w:rPr>
          <w:rFonts w:ascii="Helvetica" w:hAnsi="Helvetica" w:cs="Helvetica"/>
          <w:sz w:val="22"/>
          <w:szCs w:val="22"/>
        </w:rPr>
        <w:t>,</w:t>
      </w:r>
      <w:r w:rsidRPr="005857AA">
        <w:rPr>
          <w:rFonts w:ascii="Helvetica" w:hAnsi="Helvetica" w:cs="Helvetica"/>
          <w:spacing w:val="16"/>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e</w:t>
      </w:r>
      <w:r w:rsidRPr="005857AA">
        <w:rPr>
          <w:rFonts w:ascii="Helvetica" w:hAnsi="Helvetica" w:cs="Helvetica"/>
          <w:spacing w:val="15"/>
          <w:sz w:val="22"/>
          <w:szCs w:val="22"/>
        </w:rPr>
        <w:t xml:space="preserve"> </w:t>
      </w:r>
      <w:r w:rsidRPr="005857AA">
        <w:rPr>
          <w:rFonts w:ascii="Helvetica" w:hAnsi="Helvetica" w:cs="Helvetica"/>
          <w:spacing w:val="-5"/>
          <w:sz w:val="22"/>
          <w:szCs w:val="22"/>
        </w:rPr>
        <w:t>m</w:t>
      </w:r>
      <w:r w:rsidRPr="005857AA">
        <w:rPr>
          <w:rFonts w:ascii="Helvetica" w:hAnsi="Helvetica" w:cs="Helvetica"/>
          <w:spacing w:val="-4"/>
          <w:sz w:val="22"/>
          <w:szCs w:val="22"/>
        </w:rPr>
        <w:t>e</w:t>
      </w:r>
      <w:r w:rsidRPr="005857AA">
        <w:rPr>
          <w:rFonts w:ascii="Helvetica" w:hAnsi="Helvetica" w:cs="Helvetica"/>
          <w:spacing w:val="-3"/>
          <w:sz w:val="22"/>
          <w:szCs w:val="22"/>
        </w:rPr>
        <w:t>j</w:t>
      </w:r>
      <w:r w:rsidRPr="005857AA">
        <w:rPr>
          <w:rFonts w:ascii="Helvetica" w:hAnsi="Helvetica" w:cs="Helvetica"/>
          <w:spacing w:val="-4"/>
          <w:sz w:val="22"/>
          <w:szCs w:val="22"/>
        </w:rPr>
        <w:t>o</w:t>
      </w:r>
      <w:r w:rsidRPr="005857AA">
        <w:rPr>
          <w:rFonts w:ascii="Helvetica" w:hAnsi="Helvetica" w:cs="Helvetica"/>
          <w:spacing w:val="-3"/>
          <w:sz w:val="22"/>
          <w:szCs w:val="22"/>
        </w:rPr>
        <w:t>r</w:t>
      </w:r>
      <w:r w:rsidRPr="005857AA">
        <w:rPr>
          <w:rFonts w:ascii="Helvetica" w:hAnsi="Helvetica" w:cs="Helvetica"/>
          <w:spacing w:val="-4"/>
          <w:sz w:val="22"/>
          <w:szCs w:val="22"/>
        </w:rPr>
        <w:t>a</w:t>
      </w:r>
      <w:r w:rsidRPr="005857AA">
        <w:rPr>
          <w:rFonts w:ascii="Helvetica" w:hAnsi="Helvetica" w:cs="Helvetica"/>
          <w:spacing w:val="-5"/>
          <w:sz w:val="22"/>
          <w:szCs w:val="22"/>
        </w:rPr>
        <w:t xml:space="preserve">r </w:t>
      </w:r>
      <w:r w:rsidRPr="005857AA">
        <w:rPr>
          <w:rFonts w:ascii="Helvetica" w:hAnsi="Helvetica" w:cs="Helvetica"/>
          <w:spacing w:val="-4"/>
          <w:sz w:val="22"/>
          <w:szCs w:val="22"/>
        </w:rPr>
        <w:t>con</w:t>
      </w:r>
      <w:r w:rsidRPr="005857AA">
        <w:rPr>
          <w:rFonts w:ascii="Helvetica" w:hAnsi="Helvetica" w:cs="Helvetica"/>
          <w:spacing w:val="-3"/>
          <w:sz w:val="22"/>
          <w:szCs w:val="22"/>
        </w:rPr>
        <w:t>t</w:t>
      </w:r>
      <w:r w:rsidRPr="005857AA">
        <w:rPr>
          <w:rFonts w:ascii="Helvetica" w:hAnsi="Helvetica" w:cs="Helvetica"/>
          <w:spacing w:val="-5"/>
          <w:sz w:val="22"/>
          <w:szCs w:val="22"/>
        </w:rPr>
        <w:t>i</w:t>
      </w:r>
      <w:r w:rsidRPr="005857AA">
        <w:rPr>
          <w:rFonts w:ascii="Helvetica" w:hAnsi="Helvetica" w:cs="Helvetica"/>
          <w:spacing w:val="-4"/>
          <w:sz w:val="22"/>
          <w:szCs w:val="22"/>
        </w:rPr>
        <w:t>nua</w:t>
      </w:r>
      <w:r w:rsidRPr="005857AA">
        <w:rPr>
          <w:rFonts w:ascii="Helvetica" w:hAnsi="Helvetica" w:cs="Helvetica"/>
          <w:spacing w:val="-3"/>
          <w:sz w:val="22"/>
          <w:szCs w:val="22"/>
        </w:rPr>
        <w:t>m</w:t>
      </w:r>
      <w:r w:rsidRPr="005857AA">
        <w:rPr>
          <w:rFonts w:ascii="Helvetica" w:hAnsi="Helvetica" w:cs="Helvetica"/>
          <w:spacing w:val="-4"/>
          <w:sz w:val="22"/>
          <w:szCs w:val="22"/>
        </w:rPr>
        <w:t>en</w:t>
      </w:r>
      <w:r w:rsidRPr="005857AA">
        <w:rPr>
          <w:rFonts w:ascii="Helvetica" w:hAnsi="Helvetica" w:cs="Helvetica"/>
          <w:spacing w:val="-3"/>
          <w:sz w:val="22"/>
          <w:szCs w:val="22"/>
        </w:rPr>
        <w:t>t</w:t>
      </w:r>
      <w:r w:rsidRPr="005857AA">
        <w:rPr>
          <w:rFonts w:ascii="Helvetica" w:hAnsi="Helvetica" w:cs="Helvetica"/>
          <w:sz w:val="22"/>
          <w:szCs w:val="22"/>
        </w:rPr>
        <w:t xml:space="preserve">e </w:t>
      </w:r>
      <w:r w:rsidRPr="005857AA">
        <w:rPr>
          <w:rFonts w:ascii="Helvetica" w:hAnsi="Helvetica" w:cs="Helvetica"/>
          <w:spacing w:val="-30"/>
          <w:sz w:val="22"/>
          <w:szCs w:val="22"/>
        </w:rPr>
        <w:t xml:space="preserve"> </w:t>
      </w:r>
      <w:r w:rsidRPr="005857AA">
        <w:rPr>
          <w:rFonts w:ascii="Helvetica" w:hAnsi="Helvetica" w:cs="Helvetica"/>
          <w:spacing w:val="-5"/>
          <w:sz w:val="22"/>
          <w:szCs w:val="22"/>
        </w:rPr>
        <w:t>l</w:t>
      </w:r>
      <w:r w:rsidRPr="005857AA">
        <w:rPr>
          <w:rFonts w:ascii="Helvetica" w:hAnsi="Helvetica" w:cs="Helvetica"/>
          <w:sz w:val="22"/>
          <w:szCs w:val="22"/>
        </w:rPr>
        <w:t xml:space="preserve">a </w:t>
      </w:r>
      <w:r w:rsidRPr="005857AA">
        <w:rPr>
          <w:rFonts w:ascii="Helvetica" w:hAnsi="Helvetica" w:cs="Helvetica"/>
          <w:spacing w:val="-28"/>
          <w:sz w:val="22"/>
          <w:szCs w:val="22"/>
        </w:rPr>
        <w:t xml:space="preserve"> </w:t>
      </w:r>
      <w:r w:rsidRPr="005857AA">
        <w:rPr>
          <w:rFonts w:ascii="Helvetica" w:hAnsi="Helvetica" w:cs="Helvetica"/>
          <w:spacing w:val="-4"/>
          <w:sz w:val="22"/>
          <w:szCs w:val="22"/>
        </w:rPr>
        <w:t>e</w:t>
      </w:r>
      <w:r w:rsidRPr="005857AA">
        <w:rPr>
          <w:rFonts w:ascii="Helvetica" w:hAnsi="Helvetica" w:cs="Helvetica"/>
          <w:sz w:val="22"/>
          <w:szCs w:val="22"/>
        </w:rPr>
        <w:t>f</w:t>
      </w:r>
      <w:r w:rsidRPr="005857AA">
        <w:rPr>
          <w:rFonts w:ascii="Helvetica" w:hAnsi="Helvetica" w:cs="Helvetica"/>
          <w:spacing w:val="-5"/>
          <w:sz w:val="22"/>
          <w:szCs w:val="22"/>
        </w:rPr>
        <w:t>i</w:t>
      </w:r>
      <w:r w:rsidRPr="005857AA">
        <w:rPr>
          <w:rFonts w:ascii="Helvetica" w:hAnsi="Helvetica" w:cs="Helvetica"/>
          <w:spacing w:val="-4"/>
          <w:sz w:val="22"/>
          <w:szCs w:val="22"/>
        </w:rPr>
        <w:t>cac</w:t>
      </w:r>
      <w:r w:rsidRPr="005857AA">
        <w:rPr>
          <w:rFonts w:ascii="Helvetica" w:hAnsi="Helvetica" w:cs="Helvetica"/>
          <w:spacing w:val="-3"/>
          <w:sz w:val="22"/>
          <w:szCs w:val="22"/>
        </w:rPr>
        <w:t>i</w:t>
      </w:r>
      <w:r w:rsidRPr="005857AA">
        <w:rPr>
          <w:rFonts w:ascii="Helvetica" w:hAnsi="Helvetica" w:cs="Helvetica"/>
          <w:spacing w:val="-4"/>
          <w:sz w:val="22"/>
          <w:szCs w:val="22"/>
        </w:rPr>
        <w:t>a</w:t>
      </w:r>
      <w:r w:rsidRPr="005857AA">
        <w:rPr>
          <w:rFonts w:ascii="Helvetica" w:hAnsi="Helvetica" w:cs="Helvetica"/>
          <w:sz w:val="22"/>
          <w:szCs w:val="22"/>
        </w:rPr>
        <w:t xml:space="preserve">, </w:t>
      </w:r>
      <w:r w:rsidRPr="005857AA">
        <w:rPr>
          <w:rFonts w:ascii="Helvetica" w:hAnsi="Helvetica" w:cs="Helvetica"/>
          <w:spacing w:val="-29"/>
          <w:sz w:val="22"/>
          <w:szCs w:val="22"/>
        </w:rPr>
        <w:t xml:space="preserve"> </w:t>
      </w:r>
      <w:r w:rsidRPr="005857AA">
        <w:rPr>
          <w:rFonts w:ascii="Helvetica" w:hAnsi="Helvetica" w:cs="Helvetica"/>
          <w:spacing w:val="-4"/>
          <w:sz w:val="22"/>
          <w:szCs w:val="22"/>
        </w:rPr>
        <w:t>e</w:t>
      </w:r>
      <w:r w:rsidRPr="005857AA">
        <w:rPr>
          <w:rFonts w:ascii="Helvetica" w:hAnsi="Helvetica" w:cs="Helvetica"/>
          <w:sz w:val="22"/>
          <w:szCs w:val="22"/>
        </w:rPr>
        <w:t>f</w:t>
      </w:r>
      <w:r w:rsidRPr="005857AA">
        <w:rPr>
          <w:rFonts w:ascii="Helvetica" w:hAnsi="Helvetica" w:cs="Helvetica"/>
          <w:spacing w:val="-5"/>
          <w:sz w:val="22"/>
          <w:szCs w:val="22"/>
        </w:rPr>
        <w:t>i</w:t>
      </w:r>
      <w:r w:rsidRPr="005857AA">
        <w:rPr>
          <w:rFonts w:ascii="Helvetica" w:hAnsi="Helvetica" w:cs="Helvetica"/>
          <w:spacing w:val="-4"/>
          <w:sz w:val="22"/>
          <w:szCs w:val="22"/>
        </w:rPr>
        <w:t>c</w:t>
      </w:r>
      <w:r w:rsidRPr="005857AA">
        <w:rPr>
          <w:rFonts w:ascii="Helvetica" w:hAnsi="Helvetica" w:cs="Helvetica"/>
          <w:spacing w:val="-5"/>
          <w:sz w:val="22"/>
          <w:szCs w:val="22"/>
        </w:rPr>
        <w:t>i</w:t>
      </w:r>
      <w:r w:rsidRPr="005857AA">
        <w:rPr>
          <w:rFonts w:ascii="Helvetica" w:hAnsi="Helvetica" w:cs="Helvetica"/>
          <w:spacing w:val="-4"/>
          <w:sz w:val="22"/>
          <w:szCs w:val="22"/>
        </w:rPr>
        <w:t>enc</w:t>
      </w:r>
      <w:r w:rsidRPr="005857AA">
        <w:rPr>
          <w:rFonts w:ascii="Helvetica" w:hAnsi="Helvetica" w:cs="Helvetica"/>
          <w:spacing w:val="-5"/>
          <w:sz w:val="22"/>
          <w:szCs w:val="22"/>
        </w:rPr>
        <w:t>i</w:t>
      </w:r>
      <w:r w:rsidRPr="005857AA">
        <w:rPr>
          <w:rFonts w:ascii="Helvetica" w:hAnsi="Helvetica" w:cs="Helvetica"/>
          <w:sz w:val="22"/>
          <w:szCs w:val="22"/>
        </w:rPr>
        <w:t xml:space="preserve">a </w:t>
      </w:r>
      <w:r w:rsidRPr="005857AA">
        <w:rPr>
          <w:rFonts w:ascii="Helvetica" w:hAnsi="Helvetica" w:cs="Helvetica"/>
          <w:spacing w:val="-28"/>
          <w:sz w:val="22"/>
          <w:szCs w:val="22"/>
        </w:rPr>
        <w:t xml:space="preserve"> </w:t>
      </w:r>
      <w:r w:rsidRPr="005857AA">
        <w:rPr>
          <w:rFonts w:ascii="Helvetica" w:hAnsi="Helvetica" w:cs="Helvetica"/>
          <w:sz w:val="22"/>
          <w:szCs w:val="22"/>
        </w:rPr>
        <w:t>y</w:t>
      </w:r>
      <w:r w:rsidRPr="005857AA">
        <w:rPr>
          <w:rFonts w:ascii="Helvetica" w:hAnsi="Helvetica" w:cs="Helvetica"/>
          <w:spacing w:val="30"/>
          <w:sz w:val="22"/>
          <w:szCs w:val="22"/>
        </w:rPr>
        <w:t xml:space="preserve"> </w:t>
      </w:r>
      <w:r w:rsidRPr="005857AA">
        <w:rPr>
          <w:rFonts w:ascii="Helvetica" w:hAnsi="Helvetica" w:cs="Helvetica"/>
          <w:spacing w:val="-4"/>
          <w:sz w:val="22"/>
          <w:szCs w:val="22"/>
        </w:rPr>
        <w:t>e</w:t>
      </w:r>
      <w:r w:rsidRPr="005857AA">
        <w:rPr>
          <w:rFonts w:ascii="Helvetica" w:hAnsi="Helvetica" w:cs="Helvetica"/>
          <w:sz w:val="22"/>
          <w:szCs w:val="22"/>
        </w:rPr>
        <w:t>f</w:t>
      </w:r>
      <w:r w:rsidRPr="005857AA">
        <w:rPr>
          <w:rFonts w:ascii="Helvetica" w:hAnsi="Helvetica" w:cs="Helvetica"/>
          <w:spacing w:val="-4"/>
          <w:sz w:val="22"/>
          <w:szCs w:val="22"/>
        </w:rPr>
        <w:t>ec</w:t>
      </w:r>
      <w:r w:rsidRPr="005857AA">
        <w:rPr>
          <w:rFonts w:ascii="Helvetica" w:hAnsi="Helvetica" w:cs="Helvetica"/>
          <w:spacing w:val="-3"/>
          <w:sz w:val="22"/>
          <w:szCs w:val="22"/>
        </w:rPr>
        <w:t>t</w:t>
      </w:r>
      <w:r w:rsidRPr="005857AA">
        <w:rPr>
          <w:rFonts w:ascii="Helvetica" w:hAnsi="Helvetica" w:cs="Helvetica"/>
          <w:spacing w:val="-5"/>
          <w:sz w:val="22"/>
          <w:szCs w:val="22"/>
        </w:rPr>
        <w:t>i</w:t>
      </w:r>
      <w:r w:rsidRPr="005857AA">
        <w:rPr>
          <w:rFonts w:ascii="Helvetica" w:hAnsi="Helvetica" w:cs="Helvetica"/>
          <w:spacing w:val="-4"/>
          <w:sz w:val="22"/>
          <w:szCs w:val="22"/>
        </w:rPr>
        <w:t>v</w:t>
      </w:r>
      <w:r w:rsidRPr="005857AA">
        <w:rPr>
          <w:rFonts w:ascii="Helvetica" w:hAnsi="Helvetica" w:cs="Helvetica"/>
          <w:spacing w:val="-5"/>
          <w:sz w:val="22"/>
          <w:szCs w:val="22"/>
        </w:rPr>
        <w:t>i</w:t>
      </w:r>
      <w:r w:rsidRPr="005857AA">
        <w:rPr>
          <w:rFonts w:ascii="Helvetica" w:hAnsi="Helvetica" w:cs="Helvetica"/>
          <w:spacing w:val="-4"/>
          <w:sz w:val="22"/>
          <w:szCs w:val="22"/>
        </w:rPr>
        <w:t>d</w:t>
      </w:r>
      <w:r w:rsidRPr="005857AA">
        <w:rPr>
          <w:rFonts w:ascii="Helvetica" w:hAnsi="Helvetica" w:cs="Helvetica"/>
          <w:spacing w:val="-2"/>
          <w:sz w:val="22"/>
          <w:szCs w:val="22"/>
        </w:rPr>
        <w:t>a</w:t>
      </w:r>
      <w:r w:rsidRPr="005857AA">
        <w:rPr>
          <w:rFonts w:ascii="Helvetica" w:hAnsi="Helvetica" w:cs="Helvetica"/>
          <w:spacing w:val="-4"/>
          <w:sz w:val="22"/>
          <w:szCs w:val="22"/>
        </w:rPr>
        <w:t>d</w:t>
      </w:r>
      <w:r w:rsidRPr="005857AA">
        <w:rPr>
          <w:rFonts w:ascii="Helvetica" w:hAnsi="Helvetica" w:cs="Helvetica"/>
          <w:spacing w:val="34"/>
          <w:sz w:val="22"/>
          <w:szCs w:val="22"/>
        </w:rPr>
        <w:t xml:space="preserve"> </w:t>
      </w:r>
      <w:r w:rsidRPr="005857AA">
        <w:rPr>
          <w:rFonts w:ascii="Helvetica" w:hAnsi="Helvetica" w:cs="Helvetica"/>
          <w:spacing w:val="-4"/>
          <w:sz w:val="22"/>
          <w:szCs w:val="22"/>
        </w:rPr>
        <w:t>de</w:t>
      </w:r>
      <w:r w:rsidRPr="005857AA">
        <w:rPr>
          <w:rFonts w:ascii="Helvetica" w:hAnsi="Helvetica" w:cs="Helvetica"/>
          <w:sz w:val="22"/>
          <w:szCs w:val="22"/>
        </w:rPr>
        <w:t xml:space="preserve">l </w:t>
      </w:r>
      <w:r w:rsidRPr="005857AA">
        <w:rPr>
          <w:rFonts w:ascii="Helvetica" w:hAnsi="Helvetica" w:cs="Helvetica"/>
          <w:spacing w:val="-31"/>
          <w:sz w:val="22"/>
          <w:szCs w:val="22"/>
        </w:rPr>
        <w:t xml:space="preserve"> </w:t>
      </w:r>
      <w:r w:rsidRPr="005857AA">
        <w:rPr>
          <w:rFonts w:ascii="Helvetica" w:hAnsi="Helvetica" w:cs="Helvetica"/>
          <w:sz w:val="22"/>
          <w:szCs w:val="22"/>
        </w:rPr>
        <w:t>s</w:t>
      </w:r>
      <w:r w:rsidRPr="005857AA">
        <w:rPr>
          <w:rFonts w:ascii="Helvetica" w:hAnsi="Helvetica" w:cs="Helvetica"/>
          <w:spacing w:val="-5"/>
          <w:sz w:val="22"/>
          <w:szCs w:val="22"/>
        </w:rPr>
        <w:t>i</w:t>
      </w:r>
      <w:r w:rsidRPr="005857AA">
        <w:rPr>
          <w:rFonts w:ascii="Helvetica" w:hAnsi="Helvetica" w:cs="Helvetica"/>
          <w:spacing w:val="-4"/>
          <w:sz w:val="22"/>
          <w:szCs w:val="22"/>
        </w:rPr>
        <w:t>s</w:t>
      </w:r>
      <w:r w:rsidRPr="005857AA">
        <w:rPr>
          <w:rFonts w:ascii="Helvetica" w:hAnsi="Helvetica" w:cs="Helvetica"/>
          <w:spacing w:val="-3"/>
          <w:sz w:val="22"/>
          <w:szCs w:val="22"/>
        </w:rPr>
        <w:t>t</w:t>
      </w:r>
      <w:r w:rsidRPr="005857AA">
        <w:rPr>
          <w:rFonts w:ascii="Helvetica" w:hAnsi="Helvetica" w:cs="Helvetica"/>
          <w:spacing w:val="-4"/>
          <w:sz w:val="22"/>
          <w:szCs w:val="22"/>
        </w:rPr>
        <w:t>e</w:t>
      </w:r>
      <w:r w:rsidRPr="005857AA">
        <w:rPr>
          <w:rFonts w:ascii="Helvetica" w:hAnsi="Helvetica" w:cs="Helvetica"/>
          <w:spacing w:val="-3"/>
          <w:sz w:val="22"/>
          <w:szCs w:val="22"/>
        </w:rPr>
        <w:t>m</w:t>
      </w:r>
      <w:r w:rsidRPr="005857AA">
        <w:rPr>
          <w:rFonts w:ascii="Helvetica" w:hAnsi="Helvetica" w:cs="Helvetica"/>
          <w:spacing w:val="-4"/>
          <w:sz w:val="22"/>
          <w:szCs w:val="22"/>
        </w:rPr>
        <w:t>a</w:t>
      </w:r>
      <w:r w:rsidRPr="005857AA">
        <w:rPr>
          <w:rFonts w:ascii="Helvetica" w:hAnsi="Helvetica" w:cs="Helvetica"/>
          <w:spacing w:val="34"/>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 xml:space="preserve">e </w:t>
      </w:r>
      <w:r w:rsidRPr="005857AA">
        <w:rPr>
          <w:rFonts w:ascii="Helvetica" w:hAnsi="Helvetica" w:cs="Helvetica"/>
          <w:spacing w:val="-30"/>
          <w:sz w:val="22"/>
          <w:szCs w:val="22"/>
        </w:rPr>
        <w:t xml:space="preserve"> </w:t>
      </w:r>
      <w:r w:rsidRPr="005857AA">
        <w:rPr>
          <w:rFonts w:ascii="Helvetica" w:hAnsi="Helvetica" w:cs="Helvetica"/>
          <w:spacing w:val="-2"/>
          <w:sz w:val="22"/>
          <w:szCs w:val="22"/>
        </w:rPr>
        <w:t>g</w:t>
      </w:r>
      <w:r w:rsidRPr="005857AA">
        <w:rPr>
          <w:rFonts w:ascii="Helvetica" w:hAnsi="Helvetica" w:cs="Helvetica"/>
          <w:spacing w:val="-4"/>
          <w:sz w:val="22"/>
          <w:szCs w:val="22"/>
        </w:rPr>
        <w:t>es</w:t>
      </w:r>
      <w:r w:rsidRPr="005857AA">
        <w:rPr>
          <w:rFonts w:ascii="Helvetica" w:hAnsi="Helvetica" w:cs="Helvetica"/>
          <w:spacing w:val="-3"/>
          <w:sz w:val="22"/>
          <w:szCs w:val="22"/>
        </w:rPr>
        <w:t>t</w:t>
      </w:r>
      <w:r w:rsidRPr="005857AA">
        <w:rPr>
          <w:rFonts w:ascii="Helvetica" w:hAnsi="Helvetica" w:cs="Helvetica"/>
          <w:spacing w:val="-5"/>
          <w:sz w:val="22"/>
          <w:szCs w:val="22"/>
        </w:rPr>
        <w:t>i</w:t>
      </w:r>
      <w:r w:rsidRPr="005857AA">
        <w:rPr>
          <w:rFonts w:ascii="Helvetica" w:hAnsi="Helvetica" w:cs="Helvetica"/>
          <w:spacing w:val="-2"/>
          <w:sz w:val="22"/>
          <w:szCs w:val="22"/>
        </w:rPr>
        <w:t>ó</w:t>
      </w:r>
      <w:r w:rsidRPr="005857AA">
        <w:rPr>
          <w:rFonts w:ascii="Helvetica" w:hAnsi="Helvetica" w:cs="Helvetica"/>
          <w:spacing w:val="-4"/>
          <w:sz w:val="22"/>
          <w:szCs w:val="22"/>
        </w:rPr>
        <w:t>n</w:t>
      </w:r>
      <w:r w:rsidRPr="005857AA">
        <w:rPr>
          <w:rFonts w:ascii="Helvetica" w:hAnsi="Helvetica" w:cs="Helvetica"/>
          <w:spacing w:val="34"/>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 xml:space="preserve">e </w:t>
      </w:r>
      <w:r w:rsidRPr="005857AA">
        <w:rPr>
          <w:rFonts w:ascii="Helvetica" w:hAnsi="Helvetica" w:cs="Helvetica"/>
          <w:spacing w:val="-30"/>
          <w:sz w:val="22"/>
          <w:szCs w:val="22"/>
        </w:rPr>
        <w:t xml:space="preserve"> </w:t>
      </w:r>
      <w:r w:rsidRPr="005857AA">
        <w:rPr>
          <w:rFonts w:ascii="Helvetica" w:hAnsi="Helvetica" w:cs="Helvetica"/>
          <w:spacing w:val="-3"/>
          <w:sz w:val="22"/>
          <w:szCs w:val="22"/>
        </w:rPr>
        <w:t>l</w:t>
      </w:r>
      <w:r w:rsidRPr="005857AA">
        <w:rPr>
          <w:rFonts w:ascii="Helvetica" w:hAnsi="Helvetica" w:cs="Helvetica"/>
          <w:spacing w:val="-4"/>
          <w:sz w:val="22"/>
          <w:szCs w:val="22"/>
        </w:rPr>
        <w:t>a ca</w:t>
      </w:r>
      <w:r w:rsidRPr="005857AA">
        <w:rPr>
          <w:rFonts w:ascii="Helvetica" w:hAnsi="Helvetica" w:cs="Helvetica"/>
          <w:spacing w:val="-5"/>
          <w:sz w:val="22"/>
          <w:szCs w:val="22"/>
        </w:rPr>
        <w:t>li</w:t>
      </w:r>
      <w:r w:rsidRPr="005857AA">
        <w:rPr>
          <w:rFonts w:ascii="Helvetica" w:hAnsi="Helvetica" w:cs="Helvetica"/>
          <w:spacing w:val="-2"/>
          <w:sz w:val="22"/>
          <w:szCs w:val="22"/>
        </w:rPr>
        <w:t>d</w:t>
      </w:r>
      <w:r w:rsidRPr="005857AA">
        <w:rPr>
          <w:rFonts w:ascii="Helvetica" w:hAnsi="Helvetica" w:cs="Helvetica"/>
          <w:spacing w:val="-4"/>
          <w:sz w:val="22"/>
          <w:szCs w:val="22"/>
        </w:rPr>
        <w:t>ad</w:t>
      </w:r>
      <w:r w:rsidRPr="005857AA">
        <w:rPr>
          <w:rFonts w:ascii="Helvetica" w:hAnsi="Helvetica" w:cs="Helvetica"/>
          <w:sz w:val="22"/>
          <w:szCs w:val="22"/>
        </w:rPr>
        <w:t xml:space="preserve">, </w:t>
      </w:r>
      <w:r w:rsidRPr="005857AA">
        <w:rPr>
          <w:rFonts w:ascii="Helvetica" w:hAnsi="Helvetica" w:cs="Helvetica"/>
          <w:spacing w:val="-10"/>
          <w:sz w:val="22"/>
          <w:szCs w:val="22"/>
        </w:rPr>
        <w:t xml:space="preserve"> </w:t>
      </w:r>
      <w:r w:rsidRPr="005857AA">
        <w:rPr>
          <w:rFonts w:ascii="Helvetica" w:hAnsi="Helvetica" w:cs="Helvetica"/>
          <w:sz w:val="22"/>
          <w:szCs w:val="22"/>
        </w:rPr>
        <w:t xml:space="preserve">y </w:t>
      </w:r>
      <w:r w:rsidRPr="005857AA">
        <w:rPr>
          <w:rFonts w:ascii="Helvetica" w:hAnsi="Helvetica" w:cs="Helvetica"/>
          <w:spacing w:val="-13"/>
          <w:sz w:val="22"/>
          <w:szCs w:val="22"/>
        </w:rPr>
        <w:t xml:space="preserve"> </w:t>
      </w:r>
      <w:r w:rsidRPr="005857AA">
        <w:rPr>
          <w:rFonts w:ascii="Helvetica" w:hAnsi="Helvetica" w:cs="Helvetica"/>
          <w:spacing w:val="-4"/>
          <w:sz w:val="22"/>
          <w:szCs w:val="22"/>
        </w:rPr>
        <w:t>den</w:t>
      </w:r>
      <w:r w:rsidRPr="005857AA">
        <w:rPr>
          <w:rFonts w:ascii="Helvetica" w:hAnsi="Helvetica" w:cs="Helvetica"/>
          <w:spacing w:val="-3"/>
          <w:sz w:val="22"/>
          <w:szCs w:val="22"/>
        </w:rPr>
        <w:t>tr</w:t>
      </w:r>
      <w:r w:rsidRPr="005857AA">
        <w:rPr>
          <w:rFonts w:ascii="Helvetica" w:hAnsi="Helvetica" w:cs="Helvetica"/>
          <w:spacing w:val="-4"/>
          <w:sz w:val="22"/>
          <w:szCs w:val="22"/>
        </w:rPr>
        <w:t>o</w:t>
      </w:r>
      <w:r w:rsidRPr="005857AA">
        <w:rPr>
          <w:rFonts w:ascii="Helvetica" w:hAnsi="Helvetica" w:cs="Helvetica"/>
          <w:spacing w:val="53"/>
          <w:sz w:val="22"/>
          <w:szCs w:val="22"/>
        </w:rPr>
        <w:t xml:space="preserve"> </w:t>
      </w:r>
      <w:r w:rsidRPr="005857AA">
        <w:rPr>
          <w:rFonts w:ascii="Helvetica" w:hAnsi="Helvetica" w:cs="Helvetica"/>
          <w:spacing w:val="-4"/>
          <w:sz w:val="22"/>
          <w:szCs w:val="22"/>
        </w:rPr>
        <w:t>de</w:t>
      </w:r>
      <w:r w:rsidRPr="005857AA">
        <w:rPr>
          <w:rFonts w:ascii="Helvetica" w:hAnsi="Helvetica" w:cs="Helvetica"/>
          <w:sz w:val="22"/>
          <w:szCs w:val="22"/>
        </w:rPr>
        <w:t xml:space="preserve">l </w:t>
      </w:r>
      <w:r w:rsidRPr="005857AA">
        <w:rPr>
          <w:rFonts w:ascii="Helvetica" w:hAnsi="Helvetica" w:cs="Helvetica"/>
          <w:spacing w:val="-12"/>
          <w:sz w:val="22"/>
          <w:szCs w:val="22"/>
        </w:rPr>
        <w:t xml:space="preserve"> </w:t>
      </w:r>
      <w:r w:rsidRPr="005857AA">
        <w:rPr>
          <w:rFonts w:ascii="Helvetica" w:hAnsi="Helvetica" w:cs="Helvetica"/>
          <w:spacing w:val="-3"/>
          <w:sz w:val="22"/>
          <w:szCs w:val="22"/>
        </w:rPr>
        <w:t>m</w:t>
      </w:r>
      <w:r w:rsidRPr="005857AA">
        <w:rPr>
          <w:rFonts w:ascii="Helvetica" w:hAnsi="Helvetica" w:cs="Helvetica"/>
          <w:spacing w:val="-4"/>
          <w:sz w:val="22"/>
          <w:szCs w:val="22"/>
        </w:rPr>
        <w:t>a</w:t>
      </w:r>
      <w:r w:rsidRPr="005857AA">
        <w:rPr>
          <w:rFonts w:ascii="Helvetica" w:hAnsi="Helvetica" w:cs="Helvetica"/>
          <w:spacing w:val="-3"/>
          <w:sz w:val="22"/>
          <w:szCs w:val="22"/>
        </w:rPr>
        <w:t>r</w:t>
      </w:r>
      <w:r w:rsidRPr="005857AA">
        <w:rPr>
          <w:rFonts w:ascii="Helvetica" w:hAnsi="Helvetica" w:cs="Helvetica"/>
          <w:spacing w:val="-4"/>
          <w:sz w:val="22"/>
          <w:szCs w:val="22"/>
        </w:rPr>
        <w:t>co</w:t>
      </w:r>
      <w:r w:rsidRPr="005857AA">
        <w:rPr>
          <w:rFonts w:ascii="Helvetica" w:hAnsi="Helvetica" w:cs="Helvetica"/>
          <w:spacing w:val="53"/>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 xml:space="preserve">e </w:t>
      </w:r>
      <w:r w:rsidRPr="005857AA">
        <w:rPr>
          <w:rFonts w:ascii="Helvetica" w:hAnsi="Helvetica" w:cs="Helvetica"/>
          <w:spacing w:val="-11"/>
          <w:sz w:val="22"/>
          <w:szCs w:val="22"/>
        </w:rPr>
        <w:t xml:space="preserve"> </w:t>
      </w:r>
      <w:r w:rsidRPr="005857AA">
        <w:rPr>
          <w:rFonts w:ascii="Helvetica" w:hAnsi="Helvetica" w:cs="Helvetica"/>
          <w:spacing w:val="-4"/>
          <w:sz w:val="22"/>
          <w:szCs w:val="22"/>
        </w:rPr>
        <w:t>s</w:t>
      </w:r>
      <w:r w:rsidRPr="005857AA">
        <w:rPr>
          <w:rFonts w:ascii="Helvetica" w:hAnsi="Helvetica" w:cs="Helvetica"/>
          <w:sz w:val="22"/>
          <w:szCs w:val="22"/>
        </w:rPr>
        <w:t xml:space="preserve">u </w:t>
      </w:r>
      <w:r w:rsidRPr="005857AA">
        <w:rPr>
          <w:rFonts w:ascii="Helvetica" w:hAnsi="Helvetica" w:cs="Helvetica"/>
          <w:spacing w:val="-11"/>
          <w:sz w:val="22"/>
          <w:szCs w:val="22"/>
        </w:rPr>
        <w:t xml:space="preserve"> </w:t>
      </w:r>
      <w:r w:rsidRPr="005857AA">
        <w:rPr>
          <w:rFonts w:ascii="Helvetica" w:hAnsi="Helvetica" w:cs="Helvetica"/>
          <w:spacing w:val="-3"/>
          <w:sz w:val="22"/>
          <w:szCs w:val="22"/>
        </w:rPr>
        <w:t>m</w:t>
      </w:r>
      <w:r w:rsidRPr="005857AA">
        <w:rPr>
          <w:rFonts w:ascii="Helvetica" w:hAnsi="Helvetica" w:cs="Helvetica"/>
          <w:spacing w:val="-5"/>
          <w:sz w:val="22"/>
          <w:szCs w:val="22"/>
        </w:rPr>
        <w:t>i</w:t>
      </w:r>
      <w:r w:rsidRPr="005857AA">
        <w:rPr>
          <w:rFonts w:ascii="Helvetica" w:hAnsi="Helvetica" w:cs="Helvetica"/>
          <w:spacing w:val="-4"/>
          <w:sz w:val="22"/>
          <w:szCs w:val="22"/>
        </w:rPr>
        <w:t>s</w:t>
      </w:r>
      <w:r w:rsidRPr="005857AA">
        <w:rPr>
          <w:rFonts w:ascii="Helvetica" w:hAnsi="Helvetica" w:cs="Helvetica"/>
          <w:spacing w:val="-5"/>
          <w:sz w:val="22"/>
          <w:szCs w:val="22"/>
        </w:rPr>
        <w:t>i</w:t>
      </w:r>
      <w:r w:rsidRPr="005857AA">
        <w:rPr>
          <w:rFonts w:ascii="Helvetica" w:hAnsi="Helvetica" w:cs="Helvetica"/>
          <w:spacing w:val="-4"/>
          <w:sz w:val="22"/>
          <w:szCs w:val="22"/>
        </w:rPr>
        <w:t>ón</w:t>
      </w:r>
      <w:r w:rsidRPr="005857AA">
        <w:rPr>
          <w:rFonts w:ascii="Helvetica" w:hAnsi="Helvetica" w:cs="Helvetica"/>
          <w:sz w:val="22"/>
          <w:szCs w:val="22"/>
        </w:rPr>
        <w:t xml:space="preserve">, </w:t>
      </w:r>
      <w:r w:rsidRPr="005857AA">
        <w:rPr>
          <w:rFonts w:ascii="Helvetica" w:hAnsi="Helvetica" w:cs="Helvetica"/>
          <w:spacing w:val="-10"/>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 xml:space="preserve">e </w:t>
      </w:r>
      <w:r w:rsidRPr="005857AA">
        <w:rPr>
          <w:rFonts w:ascii="Helvetica" w:hAnsi="Helvetica" w:cs="Helvetica"/>
          <w:spacing w:val="-11"/>
          <w:sz w:val="22"/>
          <w:szCs w:val="22"/>
        </w:rPr>
        <w:t xml:space="preserve"> </w:t>
      </w:r>
      <w:r w:rsidRPr="005857AA">
        <w:rPr>
          <w:rFonts w:ascii="Helvetica" w:hAnsi="Helvetica" w:cs="Helvetica"/>
          <w:spacing w:val="-4"/>
          <w:sz w:val="22"/>
          <w:szCs w:val="22"/>
        </w:rPr>
        <w:t>con</w:t>
      </w:r>
      <w:r w:rsidRPr="005857AA">
        <w:rPr>
          <w:rFonts w:ascii="Helvetica" w:hAnsi="Helvetica" w:cs="Helvetica"/>
          <w:spacing w:val="-3"/>
          <w:sz w:val="22"/>
          <w:szCs w:val="22"/>
        </w:rPr>
        <w:t>tr</w:t>
      </w:r>
      <w:r w:rsidRPr="005857AA">
        <w:rPr>
          <w:rFonts w:ascii="Helvetica" w:hAnsi="Helvetica" w:cs="Helvetica"/>
          <w:spacing w:val="-5"/>
          <w:sz w:val="22"/>
          <w:szCs w:val="22"/>
        </w:rPr>
        <w:t>i</w:t>
      </w:r>
      <w:r w:rsidRPr="005857AA">
        <w:rPr>
          <w:rFonts w:ascii="Helvetica" w:hAnsi="Helvetica" w:cs="Helvetica"/>
          <w:spacing w:val="-4"/>
          <w:sz w:val="22"/>
          <w:szCs w:val="22"/>
        </w:rPr>
        <w:t>bu</w:t>
      </w:r>
      <w:r w:rsidRPr="005857AA">
        <w:rPr>
          <w:rFonts w:ascii="Helvetica" w:hAnsi="Helvetica" w:cs="Helvetica"/>
          <w:spacing w:val="-5"/>
          <w:sz w:val="22"/>
          <w:szCs w:val="22"/>
        </w:rPr>
        <w:t>i</w:t>
      </w:r>
      <w:r w:rsidRPr="005857AA">
        <w:rPr>
          <w:rFonts w:ascii="Helvetica" w:hAnsi="Helvetica" w:cs="Helvetica"/>
          <w:sz w:val="22"/>
          <w:szCs w:val="22"/>
        </w:rPr>
        <w:t xml:space="preserve">r </w:t>
      </w:r>
      <w:r w:rsidRPr="005857AA">
        <w:rPr>
          <w:rFonts w:ascii="Helvetica" w:hAnsi="Helvetica" w:cs="Helvetica"/>
          <w:spacing w:val="-10"/>
          <w:sz w:val="22"/>
          <w:szCs w:val="22"/>
        </w:rPr>
        <w:t xml:space="preserve"> </w:t>
      </w:r>
      <w:r w:rsidRPr="005857AA">
        <w:rPr>
          <w:rFonts w:ascii="Helvetica" w:hAnsi="Helvetica" w:cs="Helvetica"/>
          <w:spacing w:val="-4"/>
          <w:sz w:val="22"/>
          <w:szCs w:val="22"/>
        </w:rPr>
        <w:t>a</w:t>
      </w:r>
      <w:r w:rsidRPr="005857AA">
        <w:rPr>
          <w:rFonts w:ascii="Helvetica" w:hAnsi="Helvetica" w:cs="Helvetica"/>
          <w:spacing w:val="-5"/>
          <w:sz w:val="22"/>
          <w:szCs w:val="22"/>
        </w:rPr>
        <w:t>l</w:t>
      </w:r>
      <w:r w:rsidRPr="005857AA">
        <w:rPr>
          <w:rFonts w:ascii="Helvetica" w:hAnsi="Helvetica" w:cs="Helvetica"/>
          <w:spacing w:val="53"/>
          <w:sz w:val="22"/>
          <w:szCs w:val="22"/>
        </w:rPr>
        <w:t xml:space="preserve"> </w:t>
      </w:r>
      <w:r w:rsidRPr="005857AA">
        <w:rPr>
          <w:rFonts w:ascii="Helvetica" w:hAnsi="Helvetica" w:cs="Helvetica"/>
          <w:spacing w:val="-5"/>
          <w:sz w:val="22"/>
          <w:szCs w:val="22"/>
        </w:rPr>
        <w:t>l</w:t>
      </w:r>
      <w:r w:rsidRPr="005857AA">
        <w:rPr>
          <w:rFonts w:ascii="Helvetica" w:hAnsi="Helvetica" w:cs="Helvetica"/>
          <w:spacing w:val="-4"/>
          <w:sz w:val="22"/>
          <w:szCs w:val="22"/>
        </w:rPr>
        <w:t>o</w:t>
      </w:r>
      <w:r w:rsidRPr="005857AA">
        <w:rPr>
          <w:rFonts w:ascii="Helvetica" w:hAnsi="Helvetica" w:cs="Helvetica"/>
          <w:spacing w:val="-2"/>
          <w:sz w:val="22"/>
          <w:szCs w:val="22"/>
        </w:rPr>
        <w:t>g</w:t>
      </w:r>
      <w:r w:rsidRPr="005857AA">
        <w:rPr>
          <w:rFonts w:ascii="Helvetica" w:hAnsi="Helvetica" w:cs="Helvetica"/>
          <w:spacing w:val="-3"/>
          <w:sz w:val="22"/>
          <w:szCs w:val="22"/>
        </w:rPr>
        <w:t>r</w:t>
      </w:r>
      <w:r w:rsidRPr="005857AA">
        <w:rPr>
          <w:rFonts w:ascii="Helvetica" w:hAnsi="Helvetica" w:cs="Helvetica"/>
          <w:spacing w:val="-4"/>
          <w:sz w:val="22"/>
          <w:szCs w:val="22"/>
        </w:rPr>
        <w:t>o</w:t>
      </w:r>
      <w:r w:rsidRPr="005857AA">
        <w:rPr>
          <w:rFonts w:ascii="Helvetica" w:hAnsi="Helvetica" w:cs="Helvetica"/>
          <w:spacing w:val="53"/>
          <w:sz w:val="22"/>
          <w:szCs w:val="22"/>
        </w:rPr>
        <w:t xml:space="preserve"> </w:t>
      </w:r>
      <w:r w:rsidRPr="005857AA">
        <w:rPr>
          <w:rFonts w:ascii="Helvetica" w:hAnsi="Helvetica" w:cs="Helvetica"/>
          <w:spacing w:val="-4"/>
          <w:sz w:val="22"/>
          <w:szCs w:val="22"/>
        </w:rPr>
        <w:t>d</w:t>
      </w:r>
      <w:r w:rsidRPr="005857AA">
        <w:rPr>
          <w:rFonts w:ascii="Helvetica" w:hAnsi="Helvetica" w:cs="Helvetica"/>
          <w:sz w:val="22"/>
          <w:szCs w:val="22"/>
        </w:rPr>
        <w:t xml:space="preserve">e </w:t>
      </w:r>
      <w:r w:rsidRPr="005857AA">
        <w:rPr>
          <w:rFonts w:ascii="Helvetica" w:hAnsi="Helvetica" w:cs="Helvetica"/>
          <w:spacing w:val="-11"/>
          <w:sz w:val="22"/>
          <w:szCs w:val="22"/>
        </w:rPr>
        <w:t xml:space="preserve"> </w:t>
      </w:r>
      <w:r w:rsidRPr="005857AA">
        <w:rPr>
          <w:rFonts w:ascii="Helvetica" w:hAnsi="Helvetica" w:cs="Helvetica"/>
          <w:spacing w:val="-5"/>
          <w:sz w:val="22"/>
          <w:szCs w:val="22"/>
        </w:rPr>
        <w:t>l</w:t>
      </w:r>
      <w:r w:rsidRPr="005857AA">
        <w:rPr>
          <w:rFonts w:ascii="Helvetica" w:hAnsi="Helvetica" w:cs="Helvetica"/>
          <w:spacing w:val="-2"/>
          <w:sz w:val="22"/>
          <w:szCs w:val="22"/>
        </w:rPr>
        <w:t>o</w:t>
      </w:r>
      <w:r w:rsidRPr="005857AA">
        <w:rPr>
          <w:rFonts w:ascii="Helvetica" w:hAnsi="Helvetica" w:cs="Helvetica"/>
          <w:sz w:val="22"/>
          <w:szCs w:val="22"/>
        </w:rPr>
        <w:t xml:space="preserve">s </w:t>
      </w:r>
      <w:r w:rsidRPr="005857AA">
        <w:rPr>
          <w:rFonts w:ascii="Helvetica" w:hAnsi="Helvetica" w:cs="Helvetica"/>
          <w:spacing w:val="-13"/>
          <w:sz w:val="22"/>
          <w:szCs w:val="22"/>
        </w:rPr>
        <w:t xml:space="preserve"> </w:t>
      </w:r>
      <w:r w:rsidRPr="005857AA">
        <w:rPr>
          <w:rFonts w:ascii="Helvetica" w:hAnsi="Helvetica" w:cs="Helvetica"/>
          <w:sz w:val="22"/>
          <w:szCs w:val="22"/>
        </w:rPr>
        <w:t>f</w:t>
      </w:r>
      <w:r w:rsidRPr="005857AA">
        <w:rPr>
          <w:rFonts w:ascii="Helvetica" w:hAnsi="Helvetica" w:cs="Helvetica"/>
          <w:spacing w:val="-5"/>
          <w:sz w:val="22"/>
          <w:szCs w:val="22"/>
        </w:rPr>
        <w:t>i</w:t>
      </w:r>
      <w:r w:rsidRPr="005857AA">
        <w:rPr>
          <w:rFonts w:ascii="Helvetica" w:hAnsi="Helvetica" w:cs="Helvetica"/>
          <w:spacing w:val="-4"/>
          <w:sz w:val="22"/>
          <w:szCs w:val="22"/>
        </w:rPr>
        <w:t>ne</w:t>
      </w:r>
      <w:r w:rsidRPr="005857AA">
        <w:rPr>
          <w:rFonts w:ascii="Helvetica" w:hAnsi="Helvetica" w:cs="Helvetica"/>
          <w:spacing w:val="-6"/>
          <w:sz w:val="22"/>
          <w:szCs w:val="22"/>
        </w:rPr>
        <w:t xml:space="preserve">s </w:t>
      </w:r>
      <w:r w:rsidRPr="005857AA">
        <w:rPr>
          <w:rFonts w:ascii="Helvetica" w:hAnsi="Helvetica" w:cs="Helvetica"/>
          <w:spacing w:val="-4"/>
          <w:sz w:val="22"/>
          <w:szCs w:val="22"/>
        </w:rPr>
        <w:t>esenc</w:t>
      </w:r>
      <w:r w:rsidRPr="005857AA">
        <w:rPr>
          <w:rFonts w:ascii="Helvetica" w:hAnsi="Helvetica" w:cs="Helvetica"/>
          <w:spacing w:val="-5"/>
          <w:sz w:val="22"/>
          <w:szCs w:val="22"/>
        </w:rPr>
        <w:t>i</w:t>
      </w:r>
      <w:r w:rsidRPr="005857AA">
        <w:rPr>
          <w:rFonts w:ascii="Helvetica" w:hAnsi="Helvetica" w:cs="Helvetica"/>
          <w:spacing w:val="-2"/>
          <w:sz w:val="22"/>
          <w:szCs w:val="22"/>
        </w:rPr>
        <w:t>a</w:t>
      </w:r>
      <w:r w:rsidRPr="005857AA">
        <w:rPr>
          <w:rFonts w:ascii="Helvetica" w:hAnsi="Helvetica" w:cs="Helvetica"/>
          <w:spacing w:val="-5"/>
          <w:sz w:val="22"/>
          <w:szCs w:val="22"/>
        </w:rPr>
        <w:t>l</w:t>
      </w:r>
      <w:r w:rsidRPr="005857AA">
        <w:rPr>
          <w:rFonts w:ascii="Helvetica" w:hAnsi="Helvetica" w:cs="Helvetica"/>
          <w:spacing w:val="-4"/>
          <w:sz w:val="22"/>
          <w:szCs w:val="22"/>
        </w:rPr>
        <w:t>e</w:t>
      </w:r>
      <w:r w:rsidRPr="005857AA">
        <w:rPr>
          <w:rFonts w:ascii="Helvetica" w:hAnsi="Helvetica" w:cs="Helvetica"/>
          <w:sz w:val="22"/>
          <w:szCs w:val="22"/>
        </w:rPr>
        <w:t>s</w:t>
      </w:r>
      <w:r w:rsidRPr="005857AA">
        <w:rPr>
          <w:rFonts w:ascii="Helvetica" w:hAnsi="Helvetica" w:cs="Helvetica"/>
          <w:spacing w:val="-5"/>
          <w:sz w:val="22"/>
          <w:szCs w:val="22"/>
        </w:rPr>
        <w:t xml:space="preserve"> </w:t>
      </w:r>
      <w:r w:rsidRPr="005857AA">
        <w:rPr>
          <w:rFonts w:ascii="Helvetica" w:hAnsi="Helvetica" w:cs="Helvetica"/>
          <w:spacing w:val="-4"/>
          <w:sz w:val="22"/>
          <w:szCs w:val="22"/>
        </w:rPr>
        <w:t>de</w:t>
      </w:r>
      <w:r w:rsidRPr="005857AA">
        <w:rPr>
          <w:rFonts w:ascii="Helvetica" w:hAnsi="Helvetica" w:cs="Helvetica"/>
          <w:sz w:val="22"/>
          <w:szCs w:val="22"/>
        </w:rPr>
        <w:t>l</w:t>
      </w:r>
      <w:r w:rsidRPr="005857AA">
        <w:rPr>
          <w:rFonts w:ascii="Helvetica" w:hAnsi="Helvetica" w:cs="Helvetica"/>
          <w:spacing w:val="-6"/>
          <w:sz w:val="22"/>
          <w:szCs w:val="22"/>
        </w:rPr>
        <w:t xml:space="preserve"> </w:t>
      </w:r>
      <w:r w:rsidRPr="005857AA">
        <w:rPr>
          <w:rFonts w:ascii="Helvetica" w:hAnsi="Helvetica" w:cs="Helvetica"/>
          <w:spacing w:val="-5"/>
          <w:sz w:val="22"/>
          <w:szCs w:val="22"/>
        </w:rPr>
        <w:t>E</w:t>
      </w:r>
      <w:r w:rsidRPr="005857AA">
        <w:rPr>
          <w:rFonts w:ascii="Helvetica" w:hAnsi="Helvetica" w:cs="Helvetica"/>
          <w:spacing w:val="-4"/>
          <w:sz w:val="22"/>
          <w:szCs w:val="22"/>
        </w:rPr>
        <w:t>s</w:t>
      </w:r>
      <w:r w:rsidRPr="005857AA">
        <w:rPr>
          <w:rFonts w:ascii="Helvetica" w:hAnsi="Helvetica" w:cs="Helvetica"/>
          <w:spacing w:val="-3"/>
          <w:sz w:val="22"/>
          <w:szCs w:val="22"/>
        </w:rPr>
        <w:t>t</w:t>
      </w:r>
      <w:r w:rsidRPr="005857AA">
        <w:rPr>
          <w:rFonts w:ascii="Helvetica" w:hAnsi="Helvetica" w:cs="Helvetica"/>
          <w:spacing w:val="-4"/>
          <w:sz w:val="22"/>
          <w:szCs w:val="22"/>
        </w:rPr>
        <w:t>ado</w:t>
      </w:r>
      <w:r w:rsidRPr="005857AA">
        <w:rPr>
          <w:rFonts w:ascii="Helvetica" w:hAnsi="Helvetica" w:cs="Helvetica"/>
          <w:sz w:val="22"/>
          <w:szCs w:val="22"/>
        </w:rPr>
        <w:t>,</w:t>
      </w:r>
      <w:r w:rsidRPr="005857AA">
        <w:rPr>
          <w:rFonts w:ascii="Helvetica" w:hAnsi="Helvetica" w:cs="Helvetica"/>
          <w:spacing w:val="-4"/>
          <w:sz w:val="22"/>
          <w:szCs w:val="22"/>
        </w:rPr>
        <w:t xml:space="preserve"> </w:t>
      </w:r>
      <w:r w:rsidRPr="005857AA">
        <w:rPr>
          <w:rFonts w:ascii="Helvetica" w:hAnsi="Helvetica" w:cs="Helvetica"/>
          <w:spacing w:val="-2"/>
          <w:sz w:val="22"/>
          <w:szCs w:val="22"/>
        </w:rPr>
        <w:t>d</w:t>
      </w:r>
      <w:r w:rsidRPr="005857AA">
        <w:rPr>
          <w:rFonts w:ascii="Helvetica" w:hAnsi="Helvetica" w:cs="Helvetica"/>
          <w:spacing w:val="-4"/>
          <w:sz w:val="22"/>
          <w:szCs w:val="22"/>
        </w:rPr>
        <w:t>e</w:t>
      </w:r>
      <w:r w:rsidRPr="005857AA">
        <w:rPr>
          <w:rFonts w:ascii="Helvetica" w:hAnsi="Helvetica" w:cs="Helvetica"/>
          <w:sz w:val="22"/>
          <w:szCs w:val="22"/>
        </w:rPr>
        <w:t>f</w:t>
      </w:r>
      <w:r w:rsidRPr="005857AA">
        <w:rPr>
          <w:rFonts w:ascii="Helvetica" w:hAnsi="Helvetica" w:cs="Helvetica"/>
          <w:spacing w:val="-5"/>
          <w:sz w:val="22"/>
          <w:szCs w:val="22"/>
        </w:rPr>
        <w:t>i</w:t>
      </w:r>
      <w:r w:rsidRPr="005857AA">
        <w:rPr>
          <w:rFonts w:ascii="Helvetica" w:hAnsi="Helvetica" w:cs="Helvetica"/>
          <w:spacing w:val="-4"/>
          <w:sz w:val="22"/>
          <w:szCs w:val="22"/>
        </w:rPr>
        <w:t>n</w:t>
      </w:r>
      <w:r w:rsidRPr="005857AA">
        <w:rPr>
          <w:rFonts w:ascii="Helvetica" w:hAnsi="Helvetica" w:cs="Helvetica"/>
          <w:spacing w:val="-5"/>
          <w:sz w:val="22"/>
          <w:szCs w:val="22"/>
        </w:rPr>
        <w:t>i</w:t>
      </w:r>
      <w:r w:rsidRPr="005857AA">
        <w:rPr>
          <w:rFonts w:ascii="Helvetica" w:hAnsi="Helvetica" w:cs="Helvetica"/>
          <w:spacing w:val="-4"/>
          <w:sz w:val="22"/>
          <w:szCs w:val="22"/>
        </w:rPr>
        <w:t>dos</w:t>
      </w:r>
      <w:r w:rsidRPr="005857AA">
        <w:rPr>
          <w:rFonts w:ascii="Helvetica" w:hAnsi="Helvetica" w:cs="Helvetica"/>
          <w:spacing w:val="-3"/>
          <w:sz w:val="22"/>
          <w:szCs w:val="22"/>
        </w:rPr>
        <w:t xml:space="preserve"> </w:t>
      </w:r>
      <w:r w:rsidRPr="005857AA">
        <w:rPr>
          <w:rFonts w:ascii="Helvetica" w:hAnsi="Helvetica" w:cs="Helvetica"/>
          <w:spacing w:val="-4"/>
          <w:sz w:val="22"/>
          <w:szCs w:val="22"/>
        </w:rPr>
        <w:t>cons</w:t>
      </w:r>
      <w:r w:rsidRPr="005857AA">
        <w:rPr>
          <w:rFonts w:ascii="Helvetica" w:hAnsi="Helvetica" w:cs="Helvetica"/>
          <w:spacing w:val="-3"/>
          <w:sz w:val="22"/>
          <w:szCs w:val="22"/>
        </w:rPr>
        <w:t>t</w:t>
      </w:r>
      <w:r w:rsidRPr="005857AA">
        <w:rPr>
          <w:rFonts w:ascii="Helvetica" w:hAnsi="Helvetica" w:cs="Helvetica"/>
          <w:spacing w:val="-5"/>
          <w:sz w:val="22"/>
          <w:szCs w:val="22"/>
        </w:rPr>
        <w:t>i</w:t>
      </w:r>
      <w:r w:rsidRPr="005857AA">
        <w:rPr>
          <w:rFonts w:ascii="Helvetica" w:hAnsi="Helvetica" w:cs="Helvetica"/>
          <w:spacing w:val="-3"/>
          <w:sz w:val="22"/>
          <w:szCs w:val="22"/>
        </w:rPr>
        <w:t>t</w:t>
      </w:r>
      <w:r w:rsidRPr="005857AA">
        <w:rPr>
          <w:rFonts w:ascii="Helvetica" w:hAnsi="Helvetica" w:cs="Helvetica"/>
          <w:spacing w:val="-4"/>
          <w:sz w:val="22"/>
          <w:szCs w:val="22"/>
        </w:rPr>
        <w:t>uc</w:t>
      </w:r>
      <w:r w:rsidRPr="005857AA">
        <w:rPr>
          <w:rFonts w:ascii="Helvetica" w:hAnsi="Helvetica" w:cs="Helvetica"/>
          <w:spacing w:val="-5"/>
          <w:sz w:val="22"/>
          <w:szCs w:val="22"/>
        </w:rPr>
        <w:t>i</w:t>
      </w:r>
      <w:r w:rsidRPr="005857AA">
        <w:rPr>
          <w:rFonts w:ascii="Helvetica" w:hAnsi="Helvetica" w:cs="Helvetica"/>
          <w:spacing w:val="-4"/>
          <w:sz w:val="22"/>
          <w:szCs w:val="22"/>
        </w:rPr>
        <w:t>on</w:t>
      </w:r>
      <w:r w:rsidRPr="005857AA">
        <w:rPr>
          <w:rFonts w:ascii="Helvetica" w:hAnsi="Helvetica" w:cs="Helvetica"/>
          <w:spacing w:val="-2"/>
          <w:sz w:val="22"/>
          <w:szCs w:val="22"/>
        </w:rPr>
        <w:t>a</w:t>
      </w:r>
      <w:r w:rsidRPr="005857AA">
        <w:rPr>
          <w:rFonts w:ascii="Helvetica" w:hAnsi="Helvetica" w:cs="Helvetica"/>
          <w:spacing w:val="-5"/>
          <w:sz w:val="22"/>
          <w:szCs w:val="22"/>
        </w:rPr>
        <w:t>l</w:t>
      </w:r>
      <w:r w:rsidRPr="005857AA">
        <w:rPr>
          <w:rFonts w:ascii="Helvetica" w:hAnsi="Helvetica" w:cs="Helvetica"/>
          <w:spacing w:val="-3"/>
          <w:sz w:val="22"/>
          <w:szCs w:val="22"/>
        </w:rPr>
        <w:t>m</w:t>
      </w:r>
      <w:r w:rsidRPr="005857AA">
        <w:rPr>
          <w:rFonts w:ascii="Helvetica" w:hAnsi="Helvetica" w:cs="Helvetica"/>
          <w:spacing w:val="-4"/>
          <w:sz w:val="22"/>
          <w:szCs w:val="22"/>
        </w:rPr>
        <w:t>en</w:t>
      </w:r>
      <w:r w:rsidRPr="005857AA">
        <w:rPr>
          <w:rFonts w:ascii="Helvetica" w:hAnsi="Helvetica" w:cs="Helvetica"/>
          <w:spacing w:val="-3"/>
          <w:sz w:val="22"/>
          <w:szCs w:val="22"/>
        </w:rPr>
        <w:t>t</w:t>
      </w:r>
      <w:r w:rsidRPr="005857AA">
        <w:rPr>
          <w:rFonts w:ascii="Helvetica" w:hAnsi="Helvetica" w:cs="Helvetica"/>
          <w:spacing w:val="-4"/>
          <w:sz w:val="22"/>
          <w:szCs w:val="22"/>
        </w:rPr>
        <w:t>e;</w:t>
      </w:r>
      <w:r w:rsidRPr="005857AA">
        <w:rPr>
          <w:rFonts w:ascii="Helvetica" w:hAnsi="Helvetica" w:cs="Helvetica"/>
          <w:b/>
          <w:bCs/>
          <w:spacing w:val="-4"/>
          <w:sz w:val="22"/>
          <w:szCs w:val="22"/>
        </w:rPr>
        <w:t>? . . y se concluyo que  . . .SI</w:t>
      </w:r>
    </w:p>
    <w:p w:rsidR="004720DC" w:rsidRPr="005857AA" w:rsidRDefault="004720DC" w:rsidP="004720DC">
      <w:pPr>
        <w:widowControl w:val="0"/>
        <w:autoSpaceDE w:val="0"/>
        <w:autoSpaceDN w:val="0"/>
        <w:adjustRightInd w:val="0"/>
        <w:spacing w:line="256" w:lineRule="exact"/>
        <w:rPr>
          <w:rFonts w:ascii="Helvetica" w:hAnsi="Helvetica" w:cs="Helvetica"/>
          <w:sz w:val="22"/>
          <w:szCs w:val="22"/>
        </w:rPr>
      </w:pPr>
    </w:p>
    <w:p w:rsidR="004720DC" w:rsidRPr="005857AA" w:rsidRDefault="004720DC" w:rsidP="005857AA">
      <w:pPr>
        <w:widowControl w:val="0"/>
        <w:numPr>
          <w:ilvl w:val="0"/>
          <w:numId w:val="7"/>
        </w:numPr>
        <w:tabs>
          <w:tab w:val="clear" w:pos="1667"/>
          <w:tab w:val="num" w:pos="1276"/>
        </w:tabs>
        <w:autoSpaceDE w:val="0"/>
        <w:autoSpaceDN w:val="0"/>
        <w:adjustRightInd w:val="0"/>
        <w:spacing w:line="250" w:lineRule="exact"/>
        <w:ind w:left="851" w:right="95"/>
        <w:rPr>
          <w:rFonts w:ascii="Helvetica" w:hAnsi="Helvetica" w:cs="Helvetica"/>
          <w:b/>
          <w:bCs/>
          <w:sz w:val="22"/>
          <w:szCs w:val="22"/>
        </w:rPr>
      </w:pPr>
      <w:r w:rsidRPr="005857AA">
        <w:rPr>
          <w:rFonts w:ascii="Helvetica" w:hAnsi="Helvetica" w:cs="Helvetica"/>
          <w:spacing w:val="-2"/>
          <w:sz w:val="22"/>
          <w:szCs w:val="22"/>
        </w:rPr>
        <w:t>La política p</w:t>
      </w:r>
      <w:r w:rsidRPr="005857AA">
        <w:rPr>
          <w:rFonts w:ascii="Helvetica" w:hAnsi="Helvetica" w:cs="Helvetica"/>
          <w:sz w:val="22"/>
          <w:szCs w:val="22"/>
        </w:rPr>
        <w:t>r</w:t>
      </w:r>
      <w:r w:rsidRPr="005857AA">
        <w:rPr>
          <w:rFonts w:ascii="Helvetica" w:hAnsi="Helvetica" w:cs="Helvetica"/>
          <w:spacing w:val="-2"/>
          <w:sz w:val="22"/>
          <w:szCs w:val="22"/>
        </w:rPr>
        <w:t>opo</w:t>
      </w:r>
      <w:r w:rsidRPr="005857AA">
        <w:rPr>
          <w:rFonts w:ascii="Helvetica" w:hAnsi="Helvetica" w:cs="Helvetica"/>
          <w:sz w:val="22"/>
          <w:szCs w:val="22"/>
        </w:rPr>
        <w:t>rc</w:t>
      </w:r>
      <w:r w:rsidRPr="005857AA">
        <w:rPr>
          <w:rFonts w:ascii="Helvetica" w:hAnsi="Helvetica" w:cs="Helvetica"/>
          <w:spacing w:val="-3"/>
          <w:sz w:val="22"/>
          <w:szCs w:val="22"/>
        </w:rPr>
        <w:t>i</w:t>
      </w:r>
      <w:r w:rsidRPr="005857AA">
        <w:rPr>
          <w:rFonts w:ascii="Helvetica" w:hAnsi="Helvetica" w:cs="Helvetica"/>
          <w:spacing w:val="-2"/>
          <w:sz w:val="22"/>
          <w:szCs w:val="22"/>
        </w:rPr>
        <w:t>ona</w:t>
      </w:r>
      <w:r w:rsidRPr="005857AA">
        <w:rPr>
          <w:rFonts w:ascii="Helvetica" w:hAnsi="Helvetica" w:cs="Helvetica"/>
          <w:spacing w:val="5"/>
          <w:sz w:val="22"/>
          <w:szCs w:val="22"/>
        </w:rPr>
        <w:t xml:space="preserve"> </w:t>
      </w:r>
      <w:r w:rsidRPr="005857AA">
        <w:rPr>
          <w:rFonts w:ascii="Helvetica" w:hAnsi="Helvetica" w:cs="Helvetica"/>
          <w:spacing w:val="-2"/>
          <w:sz w:val="22"/>
          <w:szCs w:val="22"/>
        </w:rPr>
        <w:t>u</w:t>
      </w:r>
      <w:r w:rsidRPr="005857AA">
        <w:rPr>
          <w:rFonts w:ascii="Helvetica" w:hAnsi="Helvetica" w:cs="Helvetica"/>
          <w:sz w:val="22"/>
          <w:szCs w:val="22"/>
        </w:rPr>
        <w:t>n</w:t>
      </w:r>
      <w:r w:rsidRPr="005857AA">
        <w:rPr>
          <w:rFonts w:ascii="Helvetica" w:hAnsi="Helvetica" w:cs="Helvetica"/>
          <w:spacing w:val="5"/>
          <w:sz w:val="22"/>
          <w:szCs w:val="22"/>
        </w:rPr>
        <w:t xml:space="preserve"> </w:t>
      </w:r>
      <w:r w:rsidRPr="005857AA">
        <w:rPr>
          <w:rFonts w:ascii="Helvetica" w:hAnsi="Helvetica" w:cs="Helvetica"/>
          <w:sz w:val="22"/>
          <w:szCs w:val="22"/>
        </w:rPr>
        <w:t>m</w:t>
      </w:r>
      <w:r w:rsidRPr="005857AA">
        <w:rPr>
          <w:rFonts w:ascii="Helvetica" w:hAnsi="Helvetica" w:cs="Helvetica"/>
          <w:spacing w:val="-2"/>
          <w:sz w:val="22"/>
          <w:szCs w:val="22"/>
        </w:rPr>
        <w:t>a</w:t>
      </w:r>
      <w:r w:rsidRPr="005857AA">
        <w:rPr>
          <w:rFonts w:ascii="Helvetica" w:hAnsi="Helvetica" w:cs="Helvetica"/>
          <w:spacing w:val="-3"/>
          <w:sz w:val="22"/>
          <w:szCs w:val="22"/>
        </w:rPr>
        <w:t>r</w:t>
      </w:r>
      <w:r w:rsidRPr="005857AA">
        <w:rPr>
          <w:rFonts w:ascii="Helvetica" w:hAnsi="Helvetica" w:cs="Helvetica"/>
          <w:sz w:val="22"/>
          <w:szCs w:val="22"/>
        </w:rPr>
        <w:t>c</w:t>
      </w:r>
      <w:r w:rsidRPr="005857AA">
        <w:rPr>
          <w:rFonts w:ascii="Helvetica" w:hAnsi="Helvetica" w:cs="Helvetica"/>
          <w:spacing w:val="-2"/>
          <w:sz w:val="22"/>
          <w:szCs w:val="22"/>
        </w:rPr>
        <w:t>o</w:t>
      </w:r>
      <w:r w:rsidRPr="005857AA">
        <w:rPr>
          <w:rFonts w:ascii="Helvetica" w:hAnsi="Helvetica" w:cs="Helvetica"/>
          <w:spacing w:val="5"/>
          <w:sz w:val="22"/>
          <w:szCs w:val="22"/>
        </w:rPr>
        <w:t xml:space="preserve"> </w:t>
      </w:r>
      <w:r w:rsidRPr="005857AA">
        <w:rPr>
          <w:rFonts w:ascii="Helvetica" w:hAnsi="Helvetica" w:cs="Helvetica"/>
          <w:spacing w:val="-2"/>
          <w:sz w:val="22"/>
          <w:szCs w:val="22"/>
        </w:rPr>
        <w:t>d</w:t>
      </w:r>
      <w:r w:rsidRPr="005857AA">
        <w:rPr>
          <w:rFonts w:ascii="Helvetica" w:hAnsi="Helvetica" w:cs="Helvetica"/>
          <w:sz w:val="22"/>
          <w:szCs w:val="22"/>
        </w:rPr>
        <w:t>e</w:t>
      </w:r>
      <w:r w:rsidRPr="005857AA">
        <w:rPr>
          <w:rFonts w:ascii="Helvetica" w:hAnsi="Helvetica" w:cs="Helvetica"/>
          <w:spacing w:val="5"/>
          <w:sz w:val="22"/>
          <w:szCs w:val="22"/>
        </w:rPr>
        <w:t xml:space="preserve"> </w:t>
      </w:r>
      <w:r w:rsidRPr="005857AA">
        <w:rPr>
          <w:rFonts w:ascii="Helvetica" w:hAnsi="Helvetica" w:cs="Helvetica"/>
          <w:sz w:val="22"/>
          <w:szCs w:val="22"/>
        </w:rPr>
        <w:t>r</w:t>
      </w:r>
      <w:r w:rsidRPr="005857AA">
        <w:rPr>
          <w:rFonts w:ascii="Helvetica" w:hAnsi="Helvetica" w:cs="Helvetica"/>
          <w:spacing w:val="-4"/>
          <w:sz w:val="22"/>
          <w:szCs w:val="22"/>
        </w:rPr>
        <w:t>e</w:t>
      </w:r>
      <w:r w:rsidRPr="005857AA">
        <w:rPr>
          <w:rFonts w:ascii="Helvetica" w:hAnsi="Helvetica" w:cs="Helvetica"/>
          <w:sz w:val="22"/>
          <w:szCs w:val="22"/>
        </w:rPr>
        <w:t>f</w:t>
      </w:r>
      <w:r w:rsidRPr="005857AA">
        <w:rPr>
          <w:rFonts w:ascii="Helvetica" w:hAnsi="Helvetica" w:cs="Helvetica"/>
          <w:spacing w:val="-2"/>
          <w:sz w:val="22"/>
          <w:szCs w:val="22"/>
        </w:rPr>
        <w:t>e</w:t>
      </w:r>
      <w:r w:rsidRPr="005857AA">
        <w:rPr>
          <w:rFonts w:ascii="Helvetica" w:hAnsi="Helvetica" w:cs="Helvetica"/>
          <w:sz w:val="22"/>
          <w:szCs w:val="22"/>
        </w:rPr>
        <w:t>r</w:t>
      </w:r>
      <w:r w:rsidRPr="005857AA">
        <w:rPr>
          <w:rFonts w:ascii="Helvetica" w:hAnsi="Helvetica" w:cs="Helvetica"/>
          <w:spacing w:val="-2"/>
          <w:sz w:val="22"/>
          <w:szCs w:val="22"/>
        </w:rPr>
        <w:t>enc</w:t>
      </w:r>
      <w:r w:rsidRPr="005857AA">
        <w:rPr>
          <w:rFonts w:ascii="Helvetica" w:hAnsi="Helvetica" w:cs="Helvetica"/>
          <w:spacing w:val="-3"/>
          <w:sz w:val="22"/>
          <w:szCs w:val="22"/>
        </w:rPr>
        <w:t>i</w:t>
      </w:r>
      <w:r w:rsidRPr="005857AA">
        <w:rPr>
          <w:rFonts w:ascii="Helvetica" w:hAnsi="Helvetica" w:cs="Helvetica"/>
          <w:spacing w:val="-2"/>
          <w:sz w:val="22"/>
          <w:szCs w:val="22"/>
        </w:rPr>
        <w:t>a</w:t>
      </w:r>
      <w:r w:rsidRPr="005857AA">
        <w:rPr>
          <w:rFonts w:ascii="Helvetica" w:hAnsi="Helvetica" w:cs="Helvetica"/>
          <w:spacing w:val="5"/>
          <w:sz w:val="22"/>
          <w:szCs w:val="22"/>
        </w:rPr>
        <w:t xml:space="preserve"> </w:t>
      </w:r>
      <w:r w:rsidRPr="005857AA">
        <w:rPr>
          <w:rFonts w:ascii="Helvetica" w:hAnsi="Helvetica" w:cs="Helvetica"/>
          <w:spacing w:val="-2"/>
          <w:sz w:val="22"/>
          <w:szCs w:val="22"/>
        </w:rPr>
        <w:t>pa</w:t>
      </w:r>
      <w:r w:rsidRPr="005857AA">
        <w:rPr>
          <w:rFonts w:ascii="Helvetica" w:hAnsi="Helvetica" w:cs="Helvetica"/>
          <w:sz w:val="22"/>
          <w:szCs w:val="22"/>
        </w:rPr>
        <w:t>r</w:t>
      </w:r>
      <w:r w:rsidRPr="005857AA">
        <w:rPr>
          <w:rFonts w:ascii="Helvetica" w:hAnsi="Helvetica" w:cs="Helvetica"/>
          <w:spacing w:val="-2"/>
          <w:sz w:val="22"/>
          <w:szCs w:val="22"/>
        </w:rPr>
        <w:t>a</w:t>
      </w:r>
      <w:r w:rsidRPr="005857AA">
        <w:rPr>
          <w:rFonts w:ascii="Helvetica" w:hAnsi="Helvetica" w:cs="Helvetica"/>
          <w:spacing w:val="5"/>
          <w:sz w:val="22"/>
          <w:szCs w:val="22"/>
        </w:rPr>
        <w:t xml:space="preserve"> </w:t>
      </w:r>
      <w:r w:rsidRPr="005857AA">
        <w:rPr>
          <w:rFonts w:ascii="Helvetica" w:hAnsi="Helvetica" w:cs="Helvetica"/>
          <w:spacing w:val="-2"/>
          <w:sz w:val="22"/>
          <w:szCs w:val="22"/>
        </w:rPr>
        <w:t>e</w:t>
      </w:r>
      <w:r w:rsidRPr="005857AA">
        <w:rPr>
          <w:rFonts w:ascii="Helvetica" w:hAnsi="Helvetica" w:cs="Helvetica"/>
          <w:spacing w:val="-4"/>
          <w:sz w:val="22"/>
          <w:szCs w:val="22"/>
        </w:rPr>
        <w:t>s</w:t>
      </w:r>
      <w:r w:rsidRPr="005857AA">
        <w:rPr>
          <w:rFonts w:ascii="Helvetica" w:hAnsi="Helvetica" w:cs="Helvetica"/>
          <w:sz w:val="22"/>
          <w:szCs w:val="22"/>
        </w:rPr>
        <w:t>t</w:t>
      </w:r>
      <w:r w:rsidRPr="005857AA">
        <w:rPr>
          <w:rFonts w:ascii="Helvetica" w:hAnsi="Helvetica" w:cs="Helvetica"/>
          <w:spacing w:val="-2"/>
          <w:sz w:val="22"/>
          <w:szCs w:val="22"/>
        </w:rPr>
        <w:t>ab</w:t>
      </w:r>
      <w:r w:rsidRPr="005857AA">
        <w:rPr>
          <w:rFonts w:ascii="Helvetica" w:hAnsi="Helvetica" w:cs="Helvetica"/>
          <w:spacing w:val="-3"/>
          <w:sz w:val="22"/>
          <w:szCs w:val="22"/>
        </w:rPr>
        <w:t>l</w:t>
      </w:r>
      <w:r w:rsidRPr="005857AA">
        <w:rPr>
          <w:rFonts w:ascii="Helvetica" w:hAnsi="Helvetica" w:cs="Helvetica"/>
          <w:spacing w:val="-2"/>
          <w:sz w:val="22"/>
          <w:szCs w:val="22"/>
        </w:rPr>
        <w:t>ece</w:t>
      </w:r>
      <w:r w:rsidRPr="005857AA">
        <w:rPr>
          <w:rFonts w:ascii="Helvetica" w:hAnsi="Helvetica" w:cs="Helvetica"/>
          <w:sz w:val="22"/>
          <w:szCs w:val="22"/>
        </w:rPr>
        <w:t>r</w:t>
      </w:r>
      <w:r w:rsidRPr="005857AA">
        <w:rPr>
          <w:rFonts w:ascii="Helvetica" w:hAnsi="Helvetica" w:cs="Helvetica"/>
          <w:spacing w:val="7"/>
          <w:sz w:val="22"/>
          <w:szCs w:val="22"/>
        </w:rPr>
        <w:t xml:space="preserve"> </w:t>
      </w:r>
      <w:r w:rsidRPr="005857AA">
        <w:rPr>
          <w:rFonts w:ascii="Helvetica" w:hAnsi="Helvetica" w:cs="Helvetica"/>
          <w:sz w:val="22"/>
          <w:szCs w:val="22"/>
        </w:rPr>
        <w:t>y</w:t>
      </w:r>
      <w:r w:rsidRPr="005857AA">
        <w:rPr>
          <w:rFonts w:ascii="Helvetica" w:hAnsi="Helvetica" w:cs="Helvetica"/>
          <w:spacing w:val="3"/>
          <w:sz w:val="22"/>
          <w:szCs w:val="22"/>
        </w:rPr>
        <w:t xml:space="preserve"> </w:t>
      </w:r>
      <w:r w:rsidRPr="005857AA">
        <w:rPr>
          <w:rFonts w:ascii="Helvetica" w:hAnsi="Helvetica" w:cs="Helvetica"/>
          <w:sz w:val="22"/>
          <w:szCs w:val="22"/>
        </w:rPr>
        <w:t>r</w:t>
      </w:r>
      <w:r w:rsidRPr="005857AA">
        <w:rPr>
          <w:rFonts w:ascii="Helvetica" w:hAnsi="Helvetica" w:cs="Helvetica"/>
          <w:spacing w:val="-2"/>
          <w:sz w:val="22"/>
          <w:szCs w:val="22"/>
        </w:rPr>
        <w:t>e</w:t>
      </w:r>
      <w:r w:rsidRPr="005857AA">
        <w:rPr>
          <w:rFonts w:ascii="Helvetica" w:hAnsi="Helvetica" w:cs="Helvetica"/>
          <w:spacing w:val="-4"/>
          <w:sz w:val="22"/>
          <w:szCs w:val="22"/>
        </w:rPr>
        <w:t>v</w:t>
      </w:r>
      <w:r w:rsidRPr="005857AA">
        <w:rPr>
          <w:rFonts w:ascii="Helvetica" w:hAnsi="Helvetica" w:cs="Helvetica"/>
          <w:spacing w:val="-3"/>
          <w:sz w:val="22"/>
          <w:szCs w:val="22"/>
        </w:rPr>
        <w:t>i</w:t>
      </w:r>
      <w:r w:rsidRPr="005857AA">
        <w:rPr>
          <w:rFonts w:ascii="Helvetica" w:hAnsi="Helvetica" w:cs="Helvetica"/>
          <w:spacing w:val="-2"/>
          <w:sz w:val="22"/>
          <w:szCs w:val="22"/>
        </w:rPr>
        <w:t>sa</w:t>
      </w:r>
      <w:r w:rsidRPr="005857AA">
        <w:rPr>
          <w:rFonts w:ascii="Helvetica" w:hAnsi="Helvetica" w:cs="Helvetica"/>
          <w:sz w:val="22"/>
          <w:szCs w:val="22"/>
        </w:rPr>
        <w:t>r</w:t>
      </w:r>
      <w:r w:rsidRPr="005857AA">
        <w:rPr>
          <w:rFonts w:ascii="Helvetica" w:hAnsi="Helvetica" w:cs="Helvetica"/>
          <w:spacing w:val="7"/>
          <w:sz w:val="22"/>
          <w:szCs w:val="22"/>
        </w:rPr>
        <w:t xml:space="preserve"> </w:t>
      </w:r>
      <w:r w:rsidRPr="005857AA">
        <w:rPr>
          <w:rFonts w:ascii="Helvetica" w:hAnsi="Helvetica" w:cs="Helvetica"/>
          <w:spacing w:val="-3"/>
          <w:sz w:val="22"/>
          <w:szCs w:val="22"/>
        </w:rPr>
        <w:t>l</w:t>
      </w:r>
      <w:r w:rsidRPr="005857AA">
        <w:rPr>
          <w:rFonts w:ascii="Helvetica" w:hAnsi="Helvetica" w:cs="Helvetica"/>
          <w:spacing w:val="-2"/>
          <w:sz w:val="22"/>
          <w:szCs w:val="22"/>
        </w:rPr>
        <w:t>o</w:t>
      </w:r>
      <w:r w:rsidRPr="005857AA">
        <w:rPr>
          <w:rFonts w:ascii="Helvetica" w:hAnsi="Helvetica" w:cs="Helvetica"/>
          <w:sz w:val="22"/>
          <w:szCs w:val="22"/>
        </w:rPr>
        <w:t>s</w:t>
      </w:r>
      <w:r w:rsidRPr="005857AA">
        <w:rPr>
          <w:rFonts w:ascii="Helvetica" w:hAnsi="Helvetica" w:cs="Helvetica"/>
          <w:spacing w:val="8"/>
          <w:sz w:val="22"/>
          <w:szCs w:val="22"/>
        </w:rPr>
        <w:t xml:space="preserve"> </w:t>
      </w:r>
      <w:r w:rsidRPr="005857AA">
        <w:rPr>
          <w:rFonts w:ascii="Helvetica" w:hAnsi="Helvetica" w:cs="Helvetica"/>
          <w:spacing w:val="-2"/>
          <w:sz w:val="22"/>
          <w:szCs w:val="22"/>
        </w:rPr>
        <w:t>ob</w:t>
      </w:r>
      <w:r w:rsidRPr="005857AA">
        <w:rPr>
          <w:rFonts w:ascii="Helvetica" w:hAnsi="Helvetica" w:cs="Helvetica"/>
          <w:sz w:val="22"/>
          <w:szCs w:val="22"/>
        </w:rPr>
        <w:t>j</w:t>
      </w:r>
      <w:r w:rsidRPr="005857AA">
        <w:rPr>
          <w:rFonts w:ascii="Helvetica" w:hAnsi="Helvetica" w:cs="Helvetica"/>
          <w:spacing w:val="-2"/>
          <w:sz w:val="22"/>
          <w:szCs w:val="22"/>
        </w:rPr>
        <w:t>e</w:t>
      </w:r>
      <w:r w:rsidRPr="005857AA">
        <w:rPr>
          <w:rFonts w:ascii="Helvetica" w:hAnsi="Helvetica" w:cs="Helvetica"/>
          <w:sz w:val="22"/>
          <w:szCs w:val="22"/>
        </w:rPr>
        <w:t>t</w:t>
      </w:r>
      <w:r w:rsidRPr="005857AA">
        <w:rPr>
          <w:rFonts w:ascii="Helvetica" w:hAnsi="Helvetica" w:cs="Helvetica"/>
          <w:spacing w:val="-3"/>
          <w:sz w:val="22"/>
          <w:szCs w:val="22"/>
        </w:rPr>
        <w:t>i</w:t>
      </w:r>
      <w:r w:rsidRPr="005857AA">
        <w:rPr>
          <w:rFonts w:ascii="Helvetica" w:hAnsi="Helvetica" w:cs="Helvetica"/>
          <w:spacing w:val="-4"/>
          <w:sz w:val="22"/>
          <w:szCs w:val="22"/>
        </w:rPr>
        <w:t>v</w:t>
      </w:r>
      <w:r w:rsidRPr="005857AA">
        <w:rPr>
          <w:rFonts w:ascii="Helvetica" w:hAnsi="Helvetica" w:cs="Helvetica"/>
          <w:sz w:val="22"/>
          <w:szCs w:val="22"/>
        </w:rPr>
        <w:t>os</w:t>
      </w:r>
      <w:r w:rsidRPr="005857AA">
        <w:rPr>
          <w:rFonts w:ascii="Helvetica" w:hAnsi="Helvetica" w:cs="Helvetica"/>
          <w:spacing w:val="6"/>
          <w:sz w:val="22"/>
          <w:szCs w:val="22"/>
        </w:rPr>
        <w:t xml:space="preserve"> </w:t>
      </w:r>
      <w:r w:rsidRPr="005857AA">
        <w:rPr>
          <w:rFonts w:ascii="Helvetica" w:hAnsi="Helvetica" w:cs="Helvetica"/>
          <w:spacing w:val="-2"/>
          <w:sz w:val="22"/>
          <w:szCs w:val="22"/>
        </w:rPr>
        <w:t>d</w:t>
      </w:r>
      <w:r w:rsidRPr="005857AA">
        <w:rPr>
          <w:rFonts w:ascii="Helvetica" w:hAnsi="Helvetica" w:cs="Helvetica"/>
          <w:sz w:val="22"/>
          <w:szCs w:val="22"/>
        </w:rPr>
        <w:t>e</w:t>
      </w:r>
      <w:r w:rsidRPr="005857AA">
        <w:rPr>
          <w:rFonts w:ascii="Helvetica" w:hAnsi="Helvetica" w:cs="Helvetica"/>
          <w:spacing w:val="5"/>
          <w:sz w:val="22"/>
          <w:szCs w:val="22"/>
        </w:rPr>
        <w:t xml:space="preserve"> </w:t>
      </w:r>
      <w:r w:rsidRPr="005857AA">
        <w:rPr>
          <w:rFonts w:ascii="Helvetica" w:hAnsi="Helvetica" w:cs="Helvetica"/>
          <w:spacing w:val="-3"/>
          <w:sz w:val="22"/>
          <w:szCs w:val="22"/>
        </w:rPr>
        <w:t>l</w:t>
      </w:r>
      <w:r w:rsidRPr="005857AA">
        <w:rPr>
          <w:rFonts w:ascii="Helvetica" w:hAnsi="Helvetica" w:cs="Helvetica"/>
          <w:spacing w:val="-4"/>
          <w:sz w:val="22"/>
          <w:szCs w:val="22"/>
        </w:rPr>
        <w:t xml:space="preserve">a </w:t>
      </w:r>
      <w:r w:rsidRPr="005857AA">
        <w:rPr>
          <w:rFonts w:ascii="Helvetica" w:hAnsi="Helvetica" w:cs="Helvetica"/>
          <w:sz w:val="22"/>
          <w:szCs w:val="22"/>
        </w:rPr>
        <w:t>c</w:t>
      </w:r>
      <w:r w:rsidRPr="005857AA">
        <w:rPr>
          <w:rFonts w:ascii="Helvetica" w:hAnsi="Helvetica" w:cs="Helvetica"/>
          <w:spacing w:val="-2"/>
          <w:sz w:val="22"/>
          <w:szCs w:val="22"/>
        </w:rPr>
        <w:t>a</w:t>
      </w:r>
      <w:r w:rsidRPr="005857AA">
        <w:rPr>
          <w:rFonts w:ascii="Helvetica" w:hAnsi="Helvetica" w:cs="Helvetica"/>
          <w:spacing w:val="-3"/>
          <w:sz w:val="22"/>
          <w:szCs w:val="22"/>
        </w:rPr>
        <w:t>li</w:t>
      </w:r>
      <w:r w:rsidRPr="005857AA">
        <w:rPr>
          <w:rFonts w:ascii="Helvetica" w:hAnsi="Helvetica" w:cs="Helvetica"/>
          <w:spacing w:val="-2"/>
          <w:sz w:val="22"/>
          <w:szCs w:val="22"/>
        </w:rPr>
        <w:t>dad;</w:t>
      </w:r>
      <w:r w:rsidRPr="005857AA">
        <w:rPr>
          <w:rFonts w:ascii="Helvetica" w:hAnsi="Helvetica" w:cs="Helvetica"/>
          <w:b/>
          <w:bCs/>
          <w:spacing w:val="-2"/>
          <w:sz w:val="22"/>
          <w:szCs w:val="22"/>
        </w:rPr>
        <w:t>? . . . . y se concluyo que  . . .SI</w:t>
      </w:r>
    </w:p>
    <w:p w:rsidR="004720DC" w:rsidRPr="005857AA" w:rsidRDefault="004720DC" w:rsidP="004720DC">
      <w:pPr>
        <w:widowControl w:val="0"/>
        <w:autoSpaceDE w:val="0"/>
        <w:autoSpaceDN w:val="0"/>
        <w:adjustRightInd w:val="0"/>
        <w:spacing w:line="256" w:lineRule="exact"/>
        <w:rPr>
          <w:rFonts w:ascii="Helvetica" w:hAnsi="Helvetica" w:cs="Helvetica"/>
          <w:sz w:val="22"/>
          <w:szCs w:val="22"/>
        </w:rPr>
      </w:pPr>
    </w:p>
    <w:p w:rsidR="004720DC" w:rsidRPr="005857AA" w:rsidRDefault="004720DC" w:rsidP="005C7227">
      <w:pPr>
        <w:widowControl w:val="0"/>
        <w:tabs>
          <w:tab w:val="left" w:pos="1660"/>
        </w:tabs>
        <w:autoSpaceDE w:val="0"/>
        <w:autoSpaceDN w:val="0"/>
        <w:adjustRightInd w:val="0"/>
        <w:spacing w:line="250" w:lineRule="exact"/>
        <w:ind w:right="95"/>
        <w:rPr>
          <w:rFonts w:ascii="Helvetica" w:hAnsi="Helvetica" w:cs="Helvetica"/>
          <w:sz w:val="22"/>
          <w:szCs w:val="22"/>
        </w:rPr>
      </w:pPr>
      <w:r w:rsidRPr="005857AA">
        <w:rPr>
          <w:rFonts w:ascii="Helvetica" w:hAnsi="Helvetica" w:cs="Helvetica"/>
          <w:spacing w:val="-2"/>
          <w:sz w:val="22"/>
          <w:szCs w:val="22"/>
        </w:rPr>
        <w:t>e</w:t>
      </w:r>
      <w:r w:rsidRPr="005857AA">
        <w:rPr>
          <w:rFonts w:ascii="Helvetica" w:hAnsi="Helvetica" w:cs="Helvetica"/>
          <w:sz w:val="22"/>
          <w:szCs w:val="22"/>
        </w:rPr>
        <w:t>)</w:t>
      </w:r>
      <w:r w:rsidRPr="005857AA">
        <w:rPr>
          <w:rFonts w:ascii="Helvetica" w:hAnsi="Helvetica" w:cs="Helvetica"/>
          <w:sz w:val="22"/>
          <w:szCs w:val="22"/>
        </w:rPr>
        <w:tab/>
        <w:t xml:space="preserve">La política se </w:t>
      </w:r>
      <w:r w:rsidRPr="005857AA">
        <w:rPr>
          <w:rFonts w:ascii="Helvetica" w:hAnsi="Helvetica" w:cs="Helvetica"/>
          <w:spacing w:val="16"/>
          <w:sz w:val="22"/>
          <w:szCs w:val="22"/>
        </w:rPr>
        <w:t xml:space="preserve"> </w:t>
      </w:r>
      <w:r w:rsidRPr="005857AA">
        <w:rPr>
          <w:rFonts w:ascii="Helvetica" w:hAnsi="Helvetica" w:cs="Helvetica"/>
          <w:sz w:val="22"/>
          <w:szCs w:val="22"/>
        </w:rPr>
        <w:t>c</w:t>
      </w:r>
      <w:r w:rsidRPr="005857AA">
        <w:rPr>
          <w:rFonts w:ascii="Helvetica" w:hAnsi="Helvetica" w:cs="Helvetica"/>
          <w:spacing w:val="-2"/>
          <w:sz w:val="22"/>
          <w:szCs w:val="22"/>
        </w:rPr>
        <w:t>o</w:t>
      </w:r>
      <w:r w:rsidRPr="005857AA">
        <w:rPr>
          <w:rFonts w:ascii="Helvetica" w:hAnsi="Helvetica" w:cs="Helvetica"/>
          <w:sz w:val="22"/>
          <w:szCs w:val="22"/>
        </w:rPr>
        <w:t>m</w:t>
      </w:r>
      <w:r w:rsidRPr="005857AA">
        <w:rPr>
          <w:rFonts w:ascii="Helvetica" w:hAnsi="Helvetica" w:cs="Helvetica"/>
          <w:spacing w:val="-2"/>
          <w:sz w:val="22"/>
          <w:szCs w:val="22"/>
        </w:rPr>
        <w:t>un</w:t>
      </w:r>
      <w:r w:rsidRPr="005857AA">
        <w:rPr>
          <w:rFonts w:ascii="Helvetica" w:hAnsi="Helvetica" w:cs="Helvetica"/>
          <w:spacing w:val="-3"/>
          <w:sz w:val="22"/>
          <w:szCs w:val="22"/>
        </w:rPr>
        <w:t>i</w:t>
      </w:r>
      <w:r w:rsidRPr="005857AA">
        <w:rPr>
          <w:rFonts w:ascii="Helvetica" w:hAnsi="Helvetica" w:cs="Helvetica"/>
          <w:sz w:val="22"/>
          <w:szCs w:val="22"/>
        </w:rPr>
        <w:t>c</w:t>
      </w:r>
      <w:r w:rsidRPr="005857AA">
        <w:rPr>
          <w:rFonts w:ascii="Helvetica" w:hAnsi="Helvetica" w:cs="Helvetica"/>
          <w:spacing w:val="-2"/>
          <w:sz w:val="22"/>
          <w:szCs w:val="22"/>
        </w:rPr>
        <w:t>a</w:t>
      </w:r>
      <w:r w:rsidRPr="005857AA">
        <w:rPr>
          <w:rFonts w:ascii="Helvetica" w:hAnsi="Helvetica" w:cs="Helvetica"/>
          <w:spacing w:val="16"/>
          <w:sz w:val="22"/>
          <w:szCs w:val="22"/>
        </w:rPr>
        <w:t xml:space="preserve"> </w:t>
      </w:r>
      <w:r w:rsidRPr="005857AA">
        <w:rPr>
          <w:rFonts w:ascii="Helvetica" w:hAnsi="Helvetica" w:cs="Helvetica"/>
          <w:sz w:val="22"/>
          <w:szCs w:val="22"/>
        </w:rPr>
        <w:t xml:space="preserve"> a </w:t>
      </w:r>
      <w:r w:rsidRPr="005857AA">
        <w:rPr>
          <w:rFonts w:ascii="Helvetica" w:hAnsi="Helvetica" w:cs="Helvetica"/>
          <w:spacing w:val="14"/>
          <w:sz w:val="22"/>
          <w:szCs w:val="22"/>
        </w:rPr>
        <w:t xml:space="preserve"> </w:t>
      </w:r>
      <w:r w:rsidRPr="005857AA">
        <w:rPr>
          <w:rFonts w:ascii="Helvetica" w:hAnsi="Helvetica" w:cs="Helvetica"/>
          <w:sz w:val="22"/>
          <w:szCs w:val="22"/>
        </w:rPr>
        <w:t>t</w:t>
      </w:r>
      <w:r w:rsidRPr="005857AA">
        <w:rPr>
          <w:rFonts w:ascii="Helvetica" w:hAnsi="Helvetica" w:cs="Helvetica"/>
          <w:spacing w:val="-2"/>
          <w:sz w:val="22"/>
          <w:szCs w:val="22"/>
        </w:rPr>
        <w:t>odo</w:t>
      </w:r>
      <w:r w:rsidRPr="005857AA">
        <w:rPr>
          <w:rFonts w:ascii="Helvetica" w:hAnsi="Helvetica" w:cs="Helvetica"/>
          <w:sz w:val="22"/>
          <w:szCs w:val="22"/>
        </w:rPr>
        <w:t xml:space="preserve">s </w:t>
      </w:r>
      <w:r w:rsidRPr="005857AA">
        <w:rPr>
          <w:rFonts w:ascii="Helvetica" w:hAnsi="Helvetica" w:cs="Helvetica"/>
          <w:spacing w:val="17"/>
          <w:sz w:val="22"/>
          <w:szCs w:val="22"/>
        </w:rPr>
        <w:t xml:space="preserve"> </w:t>
      </w:r>
      <w:r w:rsidRPr="005857AA">
        <w:rPr>
          <w:rFonts w:ascii="Helvetica" w:hAnsi="Helvetica" w:cs="Helvetica"/>
          <w:spacing w:val="-5"/>
          <w:sz w:val="22"/>
          <w:szCs w:val="22"/>
        </w:rPr>
        <w:t>l</w:t>
      </w:r>
      <w:r w:rsidRPr="005857AA">
        <w:rPr>
          <w:rFonts w:ascii="Helvetica" w:hAnsi="Helvetica" w:cs="Helvetica"/>
          <w:spacing w:val="-2"/>
          <w:sz w:val="22"/>
          <w:szCs w:val="22"/>
        </w:rPr>
        <w:t>o</w:t>
      </w:r>
      <w:r w:rsidRPr="005857AA">
        <w:rPr>
          <w:rFonts w:ascii="Helvetica" w:hAnsi="Helvetica" w:cs="Helvetica"/>
          <w:sz w:val="22"/>
          <w:szCs w:val="22"/>
        </w:rPr>
        <w:t>s</w:t>
      </w:r>
      <w:r w:rsidRPr="005857AA">
        <w:rPr>
          <w:rFonts w:ascii="Helvetica" w:hAnsi="Helvetica" w:cs="Helvetica"/>
          <w:spacing w:val="16"/>
          <w:sz w:val="22"/>
          <w:szCs w:val="22"/>
        </w:rPr>
        <w:t xml:space="preserve"> </w:t>
      </w:r>
      <w:r w:rsidRPr="005857AA">
        <w:rPr>
          <w:rFonts w:ascii="Helvetica" w:hAnsi="Helvetica" w:cs="Helvetica"/>
          <w:sz w:val="22"/>
          <w:szCs w:val="22"/>
        </w:rPr>
        <w:t xml:space="preserve"> s</w:t>
      </w:r>
      <w:r w:rsidRPr="005857AA">
        <w:rPr>
          <w:rFonts w:ascii="Helvetica" w:hAnsi="Helvetica" w:cs="Helvetica"/>
          <w:spacing w:val="-2"/>
          <w:sz w:val="22"/>
          <w:szCs w:val="22"/>
        </w:rPr>
        <w:t>e</w:t>
      </w:r>
      <w:r w:rsidRPr="005857AA">
        <w:rPr>
          <w:rFonts w:ascii="Helvetica" w:hAnsi="Helvetica" w:cs="Helvetica"/>
          <w:sz w:val="22"/>
          <w:szCs w:val="22"/>
        </w:rPr>
        <w:t>r</w:t>
      </w:r>
      <w:r w:rsidRPr="005857AA">
        <w:rPr>
          <w:rFonts w:ascii="Helvetica" w:hAnsi="Helvetica" w:cs="Helvetica"/>
          <w:spacing w:val="-4"/>
          <w:sz w:val="22"/>
          <w:szCs w:val="22"/>
        </w:rPr>
        <w:t>v</w:t>
      </w:r>
      <w:r w:rsidRPr="005857AA">
        <w:rPr>
          <w:rFonts w:ascii="Helvetica" w:hAnsi="Helvetica" w:cs="Helvetica"/>
          <w:spacing w:val="-3"/>
          <w:sz w:val="22"/>
          <w:szCs w:val="22"/>
        </w:rPr>
        <w:t>i</w:t>
      </w:r>
      <w:r w:rsidRPr="005857AA">
        <w:rPr>
          <w:rFonts w:ascii="Helvetica" w:hAnsi="Helvetica" w:cs="Helvetica"/>
          <w:spacing w:val="-2"/>
          <w:sz w:val="22"/>
          <w:szCs w:val="22"/>
        </w:rPr>
        <w:t>do</w:t>
      </w:r>
      <w:r w:rsidRPr="005857AA">
        <w:rPr>
          <w:rFonts w:ascii="Helvetica" w:hAnsi="Helvetica" w:cs="Helvetica"/>
          <w:sz w:val="22"/>
          <w:szCs w:val="22"/>
        </w:rPr>
        <w:t>r</w:t>
      </w:r>
      <w:r w:rsidRPr="005857AA">
        <w:rPr>
          <w:rFonts w:ascii="Helvetica" w:hAnsi="Helvetica" w:cs="Helvetica"/>
          <w:spacing w:val="-2"/>
          <w:sz w:val="22"/>
          <w:szCs w:val="22"/>
        </w:rPr>
        <w:t>e</w:t>
      </w:r>
      <w:r w:rsidRPr="005857AA">
        <w:rPr>
          <w:rFonts w:ascii="Helvetica" w:hAnsi="Helvetica" w:cs="Helvetica"/>
          <w:sz w:val="22"/>
          <w:szCs w:val="22"/>
        </w:rPr>
        <w:t xml:space="preserve">s </w:t>
      </w:r>
      <w:r w:rsidRPr="005857AA">
        <w:rPr>
          <w:rFonts w:ascii="Helvetica" w:hAnsi="Helvetica" w:cs="Helvetica"/>
          <w:spacing w:val="17"/>
          <w:sz w:val="22"/>
          <w:szCs w:val="22"/>
        </w:rPr>
        <w:t xml:space="preserve"> </w:t>
      </w:r>
      <w:r w:rsidRPr="005857AA">
        <w:rPr>
          <w:rFonts w:ascii="Helvetica" w:hAnsi="Helvetica" w:cs="Helvetica"/>
          <w:spacing w:val="-2"/>
          <w:sz w:val="22"/>
          <w:szCs w:val="22"/>
        </w:rPr>
        <w:t>púb</w:t>
      </w:r>
      <w:r w:rsidRPr="005857AA">
        <w:rPr>
          <w:rFonts w:ascii="Helvetica" w:hAnsi="Helvetica" w:cs="Helvetica"/>
          <w:spacing w:val="-3"/>
          <w:sz w:val="22"/>
          <w:szCs w:val="22"/>
        </w:rPr>
        <w:t>li</w:t>
      </w:r>
      <w:r w:rsidRPr="005857AA">
        <w:rPr>
          <w:rFonts w:ascii="Helvetica" w:hAnsi="Helvetica" w:cs="Helvetica"/>
          <w:sz w:val="22"/>
          <w:szCs w:val="22"/>
        </w:rPr>
        <w:t>c</w:t>
      </w:r>
      <w:r w:rsidRPr="005857AA">
        <w:rPr>
          <w:rFonts w:ascii="Helvetica" w:hAnsi="Helvetica" w:cs="Helvetica"/>
          <w:spacing w:val="-2"/>
          <w:sz w:val="22"/>
          <w:szCs w:val="22"/>
        </w:rPr>
        <w:t>o</w:t>
      </w:r>
      <w:r w:rsidRPr="005857AA">
        <w:rPr>
          <w:rFonts w:ascii="Helvetica" w:hAnsi="Helvetica" w:cs="Helvetica"/>
          <w:sz w:val="22"/>
          <w:szCs w:val="22"/>
        </w:rPr>
        <w:t xml:space="preserve">s </w:t>
      </w:r>
      <w:r w:rsidRPr="005857AA">
        <w:rPr>
          <w:rFonts w:ascii="Helvetica" w:hAnsi="Helvetica" w:cs="Helvetica"/>
          <w:spacing w:val="17"/>
          <w:sz w:val="22"/>
          <w:szCs w:val="22"/>
        </w:rPr>
        <w:t xml:space="preserve"> </w:t>
      </w:r>
      <w:r w:rsidRPr="005857AA">
        <w:rPr>
          <w:rFonts w:ascii="Helvetica" w:hAnsi="Helvetica" w:cs="Helvetica"/>
          <w:spacing w:val="-4"/>
          <w:sz w:val="22"/>
          <w:szCs w:val="22"/>
        </w:rPr>
        <w:t>y</w:t>
      </w:r>
      <w:r w:rsidRPr="005857AA">
        <w:rPr>
          <w:rFonts w:ascii="Helvetica" w:hAnsi="Helvetica" w:cs="Helvetica"/>
          <w:sz w:val="22"/>
          <w:szCs w:val="22"/>
        </w:rPr>
        <w:t>/</w:t>
      </w:r>
      <w:r w:rsidRPr="005857AA">
        <w:rPr>
          <w:rFonts w:ascii="Helvetica" w:hAnsi="Helvetica" w:cs="Helvetica"/>
          <w:spacing w:val="-2"/>
          <w:sz w:val="22"/>
          <w:szCs w:val="22"/>
        </w:rPr>
        <w:t>o</w:t>
      </w:r>
      <w:r w:rsidRPr="005857AA">
        <w:rPr>
          <w:rFonts w:ascii="Helvetica" w:hAnsi="Helvetica" w:cs="Helvetica"/>
          <w:spacing w:val="16"/>
          <w:sz w:val="22"/>
          <w:szCs w:val="22"/>
        </w:rPr>
        <w:t xml:space="preserve"> </w:t>
      </w:r>
      <w:r w:rsidRPr="005857AA">
        <w:rPr>
          <w:rFonts w:ascii="Helvetica" w:hAnsi="Helvetica" w:cs="Helvetica"/>
          <w:sz w:val="22"/>
          <w:szCs w:val="22"/>
        </w:rPr>
        <w:t xml:space="preserve"> </w:t>
      </w:r>
      <w:r w:rsidRPr="005857AA">
        <w:rPr>
          <w:rFonts w:ascii="Helvetica" w:hAnsi="Helvetica" w:cs="Helvetica"/>
          <w:spacing w:val="-2"/>
          <w:sz w:val="22"/>
          <w:szCs w:val="22"/>
        </w:rPr>
        <w:t>pa</w:t>
      </w:r>
      <w:r w:rsidRPr="005857AA">
        <w:rPr>
          <w:rFonts w:ascii="Helvetica" w:hAnsi="Helvetica" w:cs="Helvetica"/>
          <w:sz w:val="22"/>
          <w:szCs w:val="22"/>
        </w:rPr>
        <w:t>rt</w:t>
      </w:r>
      <w:r w:rsidRPr="005857AA">
        <w:rPr>
          <w:rFonts w:ascii="Helvetica" w:hAnsi="Helvetica" w:cs="Helvetica"/>
          <w:spacing w:val="-3"/>
          <w:sz w:val="22"/>
          <w:szCs w:val="22"/>
        </w:rPr>
        <w:t>i</w:t>
      </w:r>
      <w:r w:rsidRPr="005857AA">
        <w:rPr>
          <w:rFonts w:ascii="Helvetica" w:hAnsi="Helvetica" w:cs="Helvetica"/>
          <w:spacing w:val="-2"/>
          <w:sz w:val="22"/>
          <w:szCs w:val="22"/>
        </w:rPr>
        <w:t>cu</w:t>
      </w:r>
      <w:r w:rsidRPr="005857AA">
        <w:rPr>
          <w:rFonts w:ascii="Helvetica" w:hAnsi="Helvetica" w:cs="Helvetica"/>
          <w:spacing w:val="-3"/>
          <w:sz w:val="22"/>
          <w:szCs w:val="22"/>
        </w:rPr>
        <w:t>l</w:t>
      </w:r>
      <w:r w:rsidRPr="005857AA">
        <w:rPr>
          <w:rFonts w:ascii="Helvetica" w:hAnsi="Helvetica" w:cs="Helvetica"/>
          <w:spacing w:val="-2"/>
          <w:sz w:val="22"/>
          <w:szCs w:val="22"/>
        </w:rPr>
        <w:t>a</w:t>
      </w:r>
      <w:r w:rsidRPr="005857AA">
        <w:rPr>
          <w:rFonts w:ascii="Helvetica" w:hAnsi="Helvetica" w:cs="Helvetica"/>
          <w:sz w:val="22"/>
          <w:szCs w:val="22"/>
        </w:rPr>
        <w:t>r</w:t>
      </w:r>
      <w:r w:rsidRPr="005857AA">
        <w:rPr>
          <w:rFonts w:ascii="Helvetica" w:hAnsi="Helvetica" w:cs="Helvetica"/>
          <w:spacing w:val="-2"/>
          <w:sz w:val="22"/>
          <w:szCs w:val="22"/>
        </w:rPr>
        <w:t>e</w:t>
      </w:r>
      <w:r w:rsidRPr="005857AA">
        <w:rPr>
          <w:rFonts w:ascii="Helvetica" w:hAnsi="Helvetica" w:cs="Helvetica"/>
          <w:sz w:val="22"/>
          <w:szCs w:val="22"/>
        </w:rPr>
        <w:t xml:space="preserve">s </w:t>
      </w:r>
      <w:r w:rsidRPr="005857AA">
        <w:rPr>
          <w:rFonts w:ascii="Helvetica" w:hAnsi="Helvetica" w:cs="Helvetica"/>
          <w:spacing w:val="14"/>
          <w:sz w:val="22"/>
          <w:szCs w:val="22"/>
        </w:rPr>
        <w:t xml:space="preserve"> </w:t>
      </w:r>
      <w:r w:rsidRPr="005857AA">
        <w:rPr>
          <w:rFonts w:ascii="Helvetica" w:hAnsi="Helvetica" w:cs="Helvetica"/>
          <w:sz w:val="22"/>
          <w:szCs w:val="22"/>
        </w:rPr>
        <w:t>q</w:t>
      </w:r>
      <w:r w:rsidRPr="005857AA">
        <w:rPr>
          <w:rFonts w:ascii="Helvetica" w:hAnsi="Helvetica" w:cs="Helvetica"/>
          <w:spacing w:val="-2"/>
          <w:sz w:val="22"/>
          <w:szCs w:val="22"/>
        </w:rPr>
        <w:t>ue</w:t>
      </w:r>
      <w:r w:rsidRPr="005857AA">
        <w:rPr>
          <w:rFonts w:ascii="Helvetica" w:hAnsi="Helvetica" w:cs="Helvetica"/>
          <w:spacing w:val="14"/>
          <w:sz w:val="22"/>
          <w:szCs w:val="22"/>
        </w:rPr>
        <w:t xml:space="preserve"> </w:t>
      </w:r>
      <w:r w:rsidRPr="005857AA">
        <w:rPr>
          <w:rFonts w:ascii="Helvetica" w:hAnsi="Helvetica" w:cs="Helvetica"/>
          <w:sz w:val="22"/>
          <w:szCs w:val="22"/>
        </w:rPr>
        <w:t xml:space="preserve"> </w:t>
      </w:r>
      <w:r w:rsidRPr="005857AA">
        <w:rPr>
          <w:rFonts w:ascii="Helvetica" w:hAnsi="Helvetica" w:cs="Helvetica"/>
          <w:spacing w:val="-2"/>
          <w:sz w:val="22"/>
          <w:szCs w:val="22"/>
        </w:rPr>
        <w:t>e</w:t>
      </w:r>
      <w:r w:rsidRPr="005857AA">
        <w:rPr>
          <w:rFonts w:ascii="Helvetica" w:hAnsi="Helvetica" w:cs="Helvetica"/>
          <w:sz w:val="22"/>
          <w:szCs w:val="22"/>
        </w:rPr>
        <w:t>j</w:t>
      </w:r>
      <w:r w:rsidRPr="005857AA">
        <w:rPr>
          <w:rFonts w:ascii="Helvetica" w:hAnsi="Helvetica" w:cs="Helvetica"/>
          <w:spacing w:val="-2"/>
          <w:sz w:val="22"/>
          <w:szCs w:val="22"/>
        </w:rPr>
        <w:t>e</w:t>
      </w:r>
      <w:r w:rsidRPr="005857AA">
        <w:rPr>
          <w:rFonts w:ascii="Helvetica" w:hAnsi="Helvetica" w:cs="Helvetica"/>
          <w:sz w:val="22"/>
          <w:szCs w:val="22"/>
        </w:rPr>
        <w:t>rc</w:t>
      </w:r>
      <w:r w:rsidRPr="005857AA">
        <w:rPr>
          <w:rFonts w:ascii="Helvetica" w:hAnsi="Helvetica" w:cs="Helvetica"/>
          <w:spacing w:val="-2"/>
          <w:sz w:val="22"/>
          <w:szCs w:val="22"/>
        </w:rPr>
        <w:t>e</w:t>
      </w:r>
      <w:r w:rsidRPr="005857AA">
        <w:rPr>
          <w:rFonts w:ascii="Helvetica" w:hAnsi="Helvetica" w:cs="Helvetica"/>
          <w:spacing w:val="-7"/>
          <w:sz w:val="22"/>
          <w:szCs w:val="22"/>
        </w:rPr>
        <w:t xml:space="preserve">n </w:t>
      </w:r>
      <w:r w:rsidRPr="005857AA">
        <w:rPr>
          <w:rFonts w:ascii="Helvetica" w:hAnsi="Helvetica" w:cs="Helvetica"/>
          <w:sz w:val="22"/>
          <w:szCs w:val="22"/>
        </w:rPr>
        <w:t>f</w:t>
      </w:r>
      <w:r w:rsidRPr="005857AA">
        <w:rPr>
          <w:rFonts w:ascii="Helvetica" w:hAnsi="Helvetica" w:cs="Helvetica"/>
          <w:spacing w:val="-2"/>
          <w:sz w:val="22"/>
          <w:szCs w:val="22"/>
        </w:rPr>
        <w:t>un</w:t>
      </w:r>
      <w:r w:rsidRPr="005857AA">
        <w:rPr>
          <w:rFonts w:ascii="Helvetica" w:hAnsi="Helvetica" w:cs="Helvetica"/>
          <w:sz w:val="22"/>
          <w:szCs w:val="22"/>
        </w:rPr>
        <w:t>c</w:t>
      </w:r>
      <w:r w:rsidRPr="005857AA">
        <w:rPr>
          <w:rFonts w:ascii="Helvetica" w:hAnsi="Helvetica" w:cs="Helvetica"/>
          <w:spacing w:val="-3"/>
          <w:sz w:val="22"/>
          <w:szCs w:val="22"/>
        </w:rPr>
        <w:t>i</w:t>
      </w:r>
      <w:r w:rsidRPr="005857AA">
        <w:rPr>
          <w:rFonts w:ascii="Helvetica" w:hAnsi="Helvetica" w:cs="Helvetica"/>
          <w:spacing w:val="-2"/>
          <w:sz w:val="22"/>
          <w:szCs w:val="22"/>
        </w:rPr>
        <w:t>one</w:t>
      </w:r>
      <w:r w:rsidRPr="005857AA">
        <w:rPr>
          <w:rFonts w:ascii="Helvetica" w:hAnsi="Helvetica" w:cs="Helvetica"/>
          <w:sz w:val="22"/>
          <w:szCs w:val="22"/>
        </w:rPr>
        <w:t>s</w:t>
      </w:r>
      <w:r w:rsidRPr="005857AA">
        <w:rPr>
          <w:rFonts w:ascii="Helvetica" w:hAnsi="Helvetica" w:cs="Helvetica"/>
          <w:spacing w:val="1"/>
          <w:sz w:val="22"/>
          <w:szCs w:val="22"/>
        </w:rPr>
        <w:t xml:space="preserve"> </w:t>
      </w:r>
      <w:r w:rsidRPr="005857AA">
        <w:rPr>
          <w:rFonts w:ascii="Helvetica" w:hAnsi="Helvetica" w:cs="Helvetica"/>
          <w:spacing w:val="-2"/>
          <w:sz w:val="22"/>
          <w:szCs w:val="22"/>
        </w:rPr>
        <w:t>púb</w:t>
      </w:r>
      <w:r w:rsidRPr="005857AA">
        <w:rPr>
          <w:rFonts w:ascii="Helvetica" w:hAnsi="Helvetica" w:cs="Helvetica"/>
          <w:spacing w:val="-3"/>
          <w:sz w:val="22"/>
          <w:szCs w:val="22"/>
        </w:rPr>
        <w:t>li</w:t>
      </w:r>
      <w:r w:rsidRPr="005857AA">
        <w:rPr>
          <w:rFonts w:ascii="Helvetica" w:hAnsi="Helvetica" w:cs="Helvetica"/>
          <w:sz w:val="22"/>
          <w:szCs w:val="22"/>
        </w:rPr>
        <w:t>c</w:t>
      </w:r>
      <w:r w:rsidRPr="005857AA">
        <w:rPr>
          <w:rFonts w:ascii="Helvetica" w:hAnsi="Helvetica" w:cs="Helvetica"/>
          <w:spacing w:val="-2"/>
          <w:sz w:val="22"/>
          <w:szCs w:val="22"/>
        </w:rPr>
        <w:t>a</w:t>
      </w:r>
      <w:r w:rsidRPr="005857AA">
        <w:rPr>
          <w:rFonts w:ascii="Helvetica" w:hAnsi="Helvetica" w:cs="Helvetica"/>
          <w:sz w:val="22"/>
          <w:szCs w:val="22"/>
        </w:rPr>
        <w:t>s</w:t>
      </w:r>
      <w:r w:rsidRPr="005857AA">
        <w:rPr>
          <w:rFonts w:ascii="Helvetica" w:hAnsi="Helvetica" w:cs="Helvetica"/>
          <w:spacing w:val="1"/>
          <w:sz w:val="22"/>
          <w:szCs w:val="22"/>
        </w:rPr>
        <w:t xml:space="preserve"> </w:t>
      </w:r>
      <w:r w:rsidRPr="005857AA">
        <w:rPr>
          <w:rFonts w:ascii="Helvetica" w:hAnsi="Helvetica" w:cs="Helvetica"/>
          <w:spacing w:val="-2"/>
          <w:sz w:val="22"/>
          <w:szCs w:val="22"/>
        </w:rPr>
        <w:t>de</w:t>
      </w:r>
      <w:r w:rsidRPr="005857AA">
        <w:rPr>
          <w:rFonts w:ascii="Helvetica" w:hAnsi="Helvetica" w:cs="Helvetica"/>
          <w:spacing w:val="-4"/>
          <w:sz w:val="22"/>
          <w:szCs w:val="22"/>
        </w:rPr>
        <w:t>n</w:t>
      </w:r>
      <w:r w:rsidRPr="005857AA">
        <w:rPr>
          <w:rFonts w:ascii="Helvetica" w:hAnsi="Helvetica" w:cs="Helvetica"/>
          <w:sz w:val="22"/>
          <w:szCs w:val="22"/>
        </w:rPr>
        <w:t>t</w:t>
      </w:r>
      <w:r w:rsidRPr="005857AA">
        <w:rPr>
          <w:rFonts w:ascii="Helvetica" w:hAnsi="Helvetica" w:cs="Helvetica"/>
          <w:spacing w:val="-3"/>
          <w:sz w:val="22"/>
          <w:szCs w:val="22"/>
        </w:rPr>
        <w:t>r</w:t>
      </w:r>
      <w:r w:rsidRPr="005857AA">
        <w:rPr>
          <w:rFonts w:ascii="Helvetica" w:hAnsi="Helvetica" w:cs="Helvetica"/>
          <w:spacing w:val="-2"/>
          <w:sz w:val="22"/>
          <w:szCs w:val="22"/>
        </w:rPr>
        <w:t>o</w:t>
      </w:r>
      <w:r w:rsidRPr="005857AA">
        <w:rPr>
          <w:rFonts w:ascii="Helvetica" w:hAnsi="Helvetica" w:cs="Helvetica"/>
          <w:spacing w:val="1"/>
          <w:sz w:val="22"/>
          <w:szCs w:val="22"/>
        </w:rPr>
        <w:t xml:space="preserve"> </w:t>
      </w:r>
      <w:r w:rsidRPr="005857AA">
        <w:rPr>
          <w:rFonts w:ascii="Helvetica" w:hAnsi="Helvetica" w:cs="Helvetica"/>
          <w:spacing w:val="-2"/>
          <w:sz w:val="22"/>
          <w:szCs w:val="22"/>
        </w:rPr>
        <w:t>d</w:t>
      </w:r>
      <w:r w:rsidRPr="005857AA">
        <w:rPr>
          <w:rFonts w:ascii="Helvetica" w:hAnsi="Helvetica" w:cs="Helvetica"/>
          <w:sz w:val="22"/>
          <w:szCs w:val="22"/>
        </w:rPr>
        <w:t>e</w:t>
      </w:r>
      <w:r w:rsidRPr="005857AA">
        <w:rPr>
          <w:rFonts w:ascii="Helvetica" w:hAnsi="Helvetica" w:cs="Helvetica"/>
          <w:spacing w:val="1"/>
          <w:sz w:val="22"/>
          <w:szCs w:val="22"/>
        </w:rPr>
        <w:t xml:space="preserve"> </w:t>
      </w:r>
      <w:r w:rsidRPr="005857AA">
        <w:rPr>
          <w:rFonts w:ascii="Helvetica" w:hAnsi="Helvetica" w:cs="Helvetica"/>
          <w:spacing w:val="-3"/>
          <w:sz w:val="22"/>
          <w:szCs w:val="22"/>
        </w:rPr>
        <w:t>l</w:t>
      </w:r>
      <w:r w:rsidRPr="005857AA">
        <w:rPr>
          <w:rFonts w:ascii="Helvetica" w:hAnsi="Helvetica" w:cs="Helvetica"/>
          <w:spacing w:val="-2"/>
          <w:sz w:val="22"/>
          <w:szCs w:val="22"/>
        </w:rPr>
        <w:t>a</w:t>
      </w:r>
      <w:r w:rsidRPr="005857AA">
        <w:rPr>
          <w:rFonts w:ascii="Helvetica" w:hAnsi="Helvetica" w:cs="Helvetica"/>
          <w:spacing w:val="1"/>
          <w:sz w:val="22"/>
          <w:szCs w:val="22"/>
        </w:rPr>
        <w:t xml:space="preserve"> </w:t>
      </w:r>
      <w:r w:rsidRPr="005857AA">
        <w:rPr>
          <w:rFonts w:ascii="Helvetica" w:hAnsi="Helvetica" w:cs="Helvetica"/>
          <w:spacing w:val="-2"/>
          <w:sz w:val="22"/>
          <w:szCs w:val="22"/>
        </w:rPr>
        <w:t>e</w:t>
      </w:r>
      <w:r w:rsidRPr="005857AA">
        <w:rPr>
          <w:rFonts w:ascii="Helvetica" w:hAnsi="Helvetica" w:cs="Helvetica"/>
          <w:spacing w:val="-4"/>
          <w:sz w:val="22"/>
          <w:szCs w:val="22"/>
        </w:rPr>
        <w:t>n</w:t>
      </w:r>
      <w:r w:rsidRPr="005857AA">
        <w:rPr>
          <w:rFonts w:ascii="Helvetica" w:hAnsi="Helvetica" w:cs="Helvetica"/>
          <w:sz w:val="22"/>
          <w:szCs w:val="22"/>
        </w:rPr>
        <w:t>t</w:t>
      </w:r>
      <w:r w:rsidRPr="005857AA">
        <w:rPr>
          <w:rFonts w:ascii="Helvetica" w:hAnsi="Helvetica" w:cs="Helvetica"/>
          <w:spacing w:val="-3"/>
          <w:sz w:val="22"/>
          <w:szCs w:val="22"/>
        </w:rPr>
        <w:t>i</w:t>
      </w:r>
      <w:r w:rsidRPr="005857AA">
        <w:rPr>
          <w:rFonts w:ascii="Helvetica" w:hAnsi="Helvetica" w:cs="Helvetica"/>
          <w:spacing w:val="-2"/>
          <w:sz w:val="22"/>
          <w:szCs w:val="22"/>
        </w:rPr>
        <w:t>dad</w:t>
      </w:r>
      <w:r w:rsidRPr="005857AA">
        <w:rPr>
          <w:rFonts w:ascii="Helvetica" w:hAnsi="Helvetica" w:cs="Helvetica"/>
          <w:sz w:val="22"/>
          <w:szCs w:val="22"/>
        </w:rPr>
        <w:t>, y</w:t>
      </w:r>
      <w:r w:rsidRPr="005857AA">
        <w:rPr>
          <w:rFonts w:ascii="Helvetica" w:hAnsi="Helvetica" w:cs="Helvetica"/>
          <w:spacing w:val="-2"/>
          <w:sz w:val="22"/>
          <w:szCs w:val="22"/>
        </w:rPr>
        <w:t xml:space="preserve"> e</w:t>
      </w:r>
      <w:r w:rsidRPr="005857AA">
        <w:rPr>
          <w:rFonts w:ascii="Helvetica" w:hAnsi="Helvetica" w:cs="Helvetica"/>
          <w:sz w:val="22"/>
          <w:szCs w:val="22"/>
        </w:rPr>
        <w:t>s</w:t>
      </w:r>
      <w:r w:rsidRPr="005857AA">
        <w:rPr>
          <w:rFonts w:ascii="Helvetica" w:hAnsi="Helvetica" w:cs="Helvetica"/>
          <w:spacing w:val="1"/>
          <w:sz w:val="22"/>
          <w:szCs w:val="22"/>
        </w:rPr>
        <w:t xml:space="preserve"> </w:t>
      </w:r>
      <w:r w:rsidRPr="005857AA">
        <w:rPr>
          <w:rFonts w:ascii="Helvetica" w:hAnsi="Helvetica" w:cs="Helvetica"/>
          <w:spacing w:val="-2"/>
          <w:sz w:val="22"/>
          <w:szCs w:val="22"/>
        </w:rPr>
        <w:t>e</w:t>
      </w:r>
      <w:r w:rsidRPr="005857AA">
        <w:rPr>
          <w:rFonts w:ascii="Helvetica" w:hAnsi="Helvetica" w:cs="Helvetica"/>
          <w:spacing w:val="-4"/>
          <w:sz w:val="22"/>
          <w:szCs w:val="22"/>
        </w:rPr>
        <w:t>n</w:t>
      </w:r>
      <w:r w:rsidRPr="005857AA">
        <w:rPr>
          <w:rFonts w:ascii="Helvetica" w:hAnsi="Helvetica" w:cs="Helvetica"/>
          <w:spacing w:val="-3"/>
          <w:sz w:val="22"/>
          <w:szCs w:val="22"/>
        </w:rPr>
        <w:t>t</w:t>
      </w:r>
      <w:r w:rsidRPr="005857AA">
        <w:rPr>
          <w:rFonts w:ascii="Helvetica" w:hAnsi="Helvetica" w:cs="Helvetica"/>
          <w:spacing w:val="-2"/>
          <w:sz w:val="22"/>
          <w:szCs w:val="22"/>
        </w:rPr>
        <w:t>end</w:t>
      </w:r>
      <w:r w:rsidRPr="005857AA">
        <w:rPr>
          <w:rFonts w:ascii="Helvetica" w:hAnsi="Helvetica" w:cs="Helvetica"/>
          <w:spacing w:val="-3"/>
          <w:sz w:val="22"/>
          <w:szCs w:val="22"/>
        </w:rPr>
        <w:t>i</w:t>
      </w:r>
      <w:r w:rsidRPr="005857AA">
        <w:rPr>
          <w:rFonts w:ascii="Helvetica" w:hAnsi="Helvetica" w:cs="Helvetica"/>
          <w:spacing w:val="-2"/>
          <w:sz w:val="22"/>
          <w:szCs w:val="22"/>
        </w:rPr>
        <w:t>da</w:t>
      </w:r>
      <w:r w:rsidRPr="005857AA">
        <w:rPr>
          <w:rFonts w:ascii="Helvetica" w:hAnsi="Helvetica" w:cs="Helvetica"/>
          <w:spacing w:val="1"/>
          <w:sz w:val="22"/>
          <w:szCs w:val="22"/>
        </w:rPr>
        <w:t xml:space="preserve"> </w:t>
      </w:r>
      <w:r w:rsidRPr="005857AA">
        <w:rPr>
          <w:rFonts w:ascii="Helvetica" w:hAnsi="Helvetica" w:cs="Helvetica"/>
          <w:spacing w:val="-2"/>
          <w:sz w:val="22"/>
          <w:szCs w:val="22"/>
        </w:rPr>
        <w:t>po</w:t>
      </w:r>
      <w:r w:rsidRPr="005857AA">
        <w:rPr>
          <w:rFonts w:ascii="Helvetica" w:hAnsi="Helvetica" w:cs="Helvetica"/>
          <w:sz w:val="22"/>
          <w:szCs w:val="22"/>
        </w:rPr>
        <w:t>r</w:t>
      </w:r>
      <w:r w:rsidRPr="005857AA">
        <w:rPr>
          <w:rFonts w:ascii="Helvetica" w:hAnsi="Helvetica" w:cs="Helvetica"/>
          <w:spacing w:val="2"/>
          <w:sz w:val="22"/>
          <w:szCs w:val="22"/>
        </w:rPr>
        <w:t xml:space="preserve"> </w:t>
      </w:r>
      <w:r w:rsidRPr="005857AA">
        <w:rPr>
          <w:rFonts w:ascii="Helvetica" w:hAnsi="Helvetica" w:cs="Helvetica"/>
          <w:spacing w:val="-2"/>
          <w:sz w:val="22"/>
          <w:szCs w:val="22"/>
        </w:rPr>
        <w:t>e</w:t>
      </w:r>
      <w:r w:rsidRPr="005857AA">
        <w:rPr>
          <w:rFonts w:ascii="Helvetica" w:hAnsi="Helvetica" w:cs="Helvetica"/>
          <w:spacing w:val="-3"/>
          <w:sz w:val="22"/>
          <w:szCs w:val="22"/>
        </w:rPr>
        <w:t>ll</w:t>
      </w:r>
      <w:r w:rsidRPr="005857AA">
        <w:rPr>
          <w:rFonts w:ascii="Helvetica" w:hAnsi="Helvetica" w:cs="Helvetica"/>
          <w:spacing w:val="-2"/>
          <w:sz w:val="22"/>
          <w:szCs w:val="22"/>
        </w:rPr>
        <w:t>o</w:t>
      </w:r>
      <w:r w:rsidRPr="005857AA">
        <w:rPr>
          <w:rFonts w:ascii="Helvetica" w:hAnsi="Helvetica" w:cs="Helvetica"/>
          <w:sz w:val="22"/>
          <w:szCs w:val="22"/>
        </w:rPr>
        <w:t>s,</w:t>
      </w:r>
      <w:r w:rsidRPr="005857AA">
        <w:rPr>
          <w:rFonts w:ascii="Helvetica" w:hAnsi="Helvetica" w:cs="Helvetica"/>
          <w:b/>
          <w:bCs/>
          <w:sz w:val="22"/>
          <w:szCs w:val="22"/>
        </w:rPr>
        <w:t xml:space="preserve">? .   . . .y se concluyo que  . . . .SI     </w:t>
      </w:r>
      <w:r w:rsidRPr="005857AA">
        <w:rPr>
          <w:rFonts w:ascii="Helvetica" w:hAnsi="Helvetica" w:cs="Helvetica"/>
          <w:spacing w:val="-3"/>
          <w:sz w:val="22"/>
          <w:szCs w:val="22"/>
        </w:rPr>
        <w:t>y</w:t>
      </w:r>
    </w:p>
    <w:p w:rsidR="005C7227" w:rsidRDefault="005C7227" w:rsidP="005C7227">
      <w:pPr>
        <w:widowControl w:val="0"/>
        <w:tabs>
          <w:tab w:val="left" w:pos="1660"/>
        </w:tabs>
        <w:autoSpaceDE w:val="0"/>
        <w:autoSpaceDN w:val="0"/>
        <w:adjustRightInd w:val="0"/>
        <w:spacing w:line="220" w:lineRule="exact"/>
        <w:ind w:right="-20"/>
        <w:rPr>
          <w:rFonts w:ascii="Helvetica" w:hAnsi="Helvetica" w:cs="Helvetica"/>
          <w:sz w:val="22"/>
          <w:szCs w:val="22"/>
        </w:rPr>
      </w:pPr>
    </w:p>
    <w:p w:rsidR="004720DC" w:rsidRPr="005857AA" w:rsidRDefault="004720DC" w:rsidP="005C7227">
      <w:pPr>
        <w:widowControl w:val="0"/>
        <w:tabs>
          <w:tab w:val="left" w:pos="1660"/>
        </w:tabs>
        <w:autoSpaceDE w:val="0"/>
        <w:autoSpaceDN w:val="0"/>
        <w:adjustRightInd w:val="0"/>
        <w:spacing w:line="220" w:lineRule="exact"/>
        <w:ind w:right="-20"/>
        <w:rPr>
          <w:rFonts w:ascii="Helvetica" w:hAnsi="Helvetica" w:cs="Helvetica"/>
          <w:sz w:val="22"/>
          <w:szCs w:val="22"/>
        </w:rPr>
      </w:pPr>
      <w:r w:rsidRPr="005857AA">
        <w:rPr>
          <w:rFonts w:ascii="Helvetica" w:hAnsi="Helvetica" w:cs="Helvetica"/>
          <w:sz w:val="22"/>
          <w:szCs w:val="22"/>
        </w:rPr>
        <w:t>f)</w:t>
      </w:r>
      <w:r w:rsidRPr="005857AA">
        <w:rPr>
          <w:rFonts w:ascii="Helvetica" w:hAnsi="Helvetica" w:cs="Helvetica"/>
          <w:sz w:val="22"/>
          <w:szCs w:val="22"/>
        </w:rPr>
        <w:tab/>
        <w:t>Y  la política se</w:t>
      </w:r>
      <w:r w:rsidRPr="005857AA">
        <w:rPr>
          <w:rFonts w:ascii="Helvetica" w:hAnsi="Helvetica" w:cs="Helvetica"/>
          <w:spacing w:val="1"/>
          <w:sz w:val="22"/>
          <w:szCs w:val="22"/>
        </w:rPr>
        <w:t xml:space="preserve"> </w:t>
      </w:r>
      <w:r w:rsidRPr="005857AA">
        <w:rPr>
          <w:rFonts w:ascii="Helvetica" w:hAnsi="Helvetica" w:cs="Helvetica"/>
          <w:sz w:val="22"/>
          <w:szCs w:val="22"/>
        </w:rPr>
        <w:t>r</w:t>
      </w:r>
      <w:r w:rsidRPr="005857AA">
        <w:rPr>
          <w:rFonts w:ascii="Helvetica" w:hAnsi="Helvetica" w:cs="Helvetica"/>
          <w:spacing w:val="-2"/>
          <w:sz w:val="22"/>
          <w:szCs w:val="22"/>
        </w:rPr>
        <w:t>e</w:t>
      </w:r>
      <w:r w:rsidRPr="005857AA">
        <w:rPr>
          <w:rFonts w:ascii="Helvetica" w:hAnsi="Helvetica" w:cs="Helvetica"/>
          <w:spacing w:val="-4"/>
          <w:sz w:val="22"/>
          <w:szCs w:val="22"/>
        </w:rPr>
        <w:t>v</w:t>
      </w:r>
      <w:r w:rsidRPr="005857AA">
        <w:rPr>
          <w:rFonts w:ascii="Helvetica" w:hAnsi="Helvetica" w:cs="Helvetica"/>
          <w:spacing w:val="-3"/>
          <w:sz w:val="22"/>
          <w:szCs w:val="22"/>
        </w:rPr>
        <w:t>i</w:t>
      </w:r>
      <w:r w:rsidRPr="005857AA">
        <w:rPr>
          <w:rFonts w:ascii="Helvetica" w:hAnsi="Helvetica" w:cs="Helvetica"/>
          <w:sz w:val="22"/>
          <w:szCs w:val="22"/>
        </w:rPr>
        <w:t>s</w:t>
      </w:r>
      <w:r w:rsidRPr="005857AA">
        <w:rPr>
          <w:rFonts w:ascii="Helvetica" w:hAnsi="Helvetica" w:cs="Helvetica"/>
          <w:spacing w:val="-2"/>
          <w:sz w:val="22"/>
          <w:szCs w:val="22"/>
        </w:rPr>
        <w:t>a</w:t>
      </w:r>
      <w:r w:rsidRPr="005857AA">
        <w:rPr>
          <w:rFonts w:ascii="Helvetica" w:hAnsi="Helvetica" w:cs="Helvetica"/>
          <w:spacing w:val="1"/>
          <w:sz w:val="22"/>
          <w:szCs w:val="22"/>
        </w:rPr>
        <w:t xml:space="preserve"> </w:t>
      </w:r>
      <w:r w:rsidRPr="005857AA">
        <w:rPr>
          <w:rFonts w:ascii="Helvetica" w:hAnsi="Helvetica" w:cs="Helvetica"/>
          <w:spacing w:val="-2"/>
          <w:sz w:val="22"/>
          <w:szCs w:val="22"/>
        </w:rPr>
        <w:t>pa</w:t>
      </w:r>
      <w:r w:rsidRPr="005857AA">
        <w:rPr>
          <w:rFonts w:ascii="Helvetica" w:hAnsi="Helvetica" w:cs="Helvetica"/>
          <w:sz w:val="22"/>
          <w:szCs w:val="22"/>
        </w:rPr>
        <w:t>ra</w:t>
      </w:r>
      <w:r w:rsidRPr="005857AA">
        <w:rPr>
          <w:rFonts w:ascii="Helvetica" w:hAnsi="Helvetica" w:cs="Helvetica"/>
          <w:spacing w:val="-3"/>
          <w:sz w:val="22"/>
          <w:szCs w:val="22"/>
        </w:rPr>
        <w:t xml:space="preserve"> </w:t>
      </w:r>
      <w:r w:rsidRPr="005857AA">
        <w:rPr>
          <w:rFonts w:ascii="Helvetica" w:hAnsi="Helvetica" w:cs="Helvetica"/>
          <w:spacing w:val="-2"/>
          <w:sz w:val="22"/>
          <w:szCs w:val="22"/>
        </w:rPr>
        <w:t>su</w:t>
      </w:r>
      <w:r w:rsidRPr="005857AA">
        <w:rPr>
          <w:rFonts w:ascii="Helvetica" w:hAnsi="Helvetica" w:cs="Helvetica"/>
          <w:spacing w:val="1"/>
          <w:sz w:val="22"/>
          <w:szCs w:val="22"/>
        </w:rPr>
        <w:t xml:space="preserve"> </w:t>
      </w:r>
      <w:r w:rsidRPr="005857AA">
        <w:rPr>
          <w:rFonts w:ascii="Helvetica" w:hAnsi="Helvetica" w:cs="Helvetica"/>
          <w:spacing w:val="-2"/>
          <w:sz w:val="22"/>
          <w:szCs w:val="22"/>
        </w:rPr>
        <w:t>a</w:t>
      </w:r>
      <w:r w:rsidRPr="005857AA">
        <w:rPr>
          <w:rFonts w:ascii="Helvetica" w:hAnsi="Helvetica" w:cs="Helvetica"/>
          <w:spacing w:val="-4"/>
          <w:sz w:val="22"/>
          <w:szCs w:val="22"/>
        </w:rPr>
        <w:t>d</w:t>
      </w:r>
      <w:r w:rsidRPr="005857AA">
        <w:rPr>
          <w:rFonts w:ascii="Helvetica" w:hAnsi="Helvetica" w:cs="Helvetica"/>
          <w:spacing w:val="-2"/>
          <w:sz w:val="22"/>
          <w:szCs w:val="22"/>
        </w:rPr>
        <w:t>ec</w:t>
      </w:r>
      <w:r w:rsidRPr="005857AA">
        <w:rPr>
          <w:rFonts w:ascii="Helvetica" w:hAnsi="Helvetica" w:cs="Helvetica"/>
          <w:spacing w:val="-4"/>
          <w:sz w:val="22"/>
          <w:szCs w:val="22"/>
        </w:rPr>
        <w:t>u</w:t>
      </w:r>
      <w:r w:rsidRPr="005857AA">
        <w:rPr>
          <w:rFonts w:ascii="Helvetica" w:hAnsi="Helvetica" w:cs="Helvetica"/>
          <w:spacing w:val="-2"/>
          <w:sz w:val="22"/>
          <w:szCs w:val="22"/>
        </w:rPr>
        <w:t>ac</w:t>
      </w:r>
      <w:r w:rsidRPr="005857AA">
        <w:rPr>
          <w:rFonts w:ascii="Helvetica" w:hAnsi="Helvetica" w:cs="Helvetica"/>
          <w:spacing w:val="-3"/>
          <w:sz w:val="22"/>
          <w:szCs w:val="22"/>
        </w:rPr>
        <w:t>i</w:t>
      </w:r>
      <w:r w:rsidRPr="005857AA">
        <w:rPr>
          <w:rFonts w:ascii="Helvetica" w:hAnsi="Helvetica" w:cs="Helvetica"/>
          <w:spacing w:val="-2"/>
          <w:sz w:val="22"/>
          <w:szCs w:val="22"/>
        </w:rPr>
        <w:t>ó</w:t>
      </w:r>
      <w:r w:rsidRPr="005857AA">
        <w:rPr>
          <w:rFonts w:ascii="Helvetica" w:hAnsi="Helvetica" w:cs="Helvetica"/>
          <w:sz w:val="22"/>
          <w:szCs w:val="22"/>
        </w:rPr>
        <w:t>n</w:t>
      </w:r>
      <w:r w:rsidRPr="005857AA">
        <w:rPr>
          <w:rFonts w:ascii="Helvetica" w:hAnsi="Helvetica" w:cs="Helvetica"/>
          <w:spacing w:val="1"/>
          <w:sz w:val="22"/>
          <w:szCs w:val="22"/>
        </w:rPr>
        <w:t xml:space="preserve"> </w:t>
      </w:r>
      <w:r w:rsidRPr="005857AA">
        <w:rPr>
          <w:rFonts w:ascii="Helvetica" w:hAnsi="Helvetica" w:cs="Helvetica"/>
          <w:spacing w:val="-2"/>
          <w:sz w:val="22"/>
          <w:szCs w:val="22"/>
        </w:rPr>
        <w:t>con</w:t>
      </w:r>
      <w:r w:rsidRPr="005857AA">
        <w:rPr>
          <w:rFonts w:ascii="Helvetica" w:hAnsi="Helvetica" w:cs="Helvetica"/>
          <w:sz w:val="22"/>
          <w:szCs w:val="22"/>
        </w:rPr>
        <w:t>t</w:t>
      </w:r>
      <w:r w:rsidRPr="005857AA">
        <w:rPr>
          <w:rFonts w:ascii="Helvetica" w:hAnsi="Helvetica" w:cs="Helvetica"/>
          <w:spacing w:val="-3"/>
          <w:sz w:val="22"/>
          <w:szCs w:val="22"/>
        </w:rPr>
        <w:t>i</w:t>
      </w:r>
      <w:r w:rsidRPr="005857AA">
        <w:rPr>
          <w:rFonts w:ascii="Helvetica" w:hAnsi="Helvetica" w:cs="Helvetica"/>
          <w:spacing w:val="-2"/>
          <w:sz w:val="22"/>
          <w:szCs w:val="22"/>
        </w:rPr>
        <w:t>nua</w:t>
      </w:r>
      <w:r w:rsidRPr="005857AA">
        <w:rPr>
          <w:rFonts w:ascii="Helvetica" w:hAnsi="Helvetica" w:cs="Helvetica"/>
          <w:b/>
          <w:bCs/>
          <w:spacing w:val="-2"/>
          <w:sz w:val="22"/>
          <w:szCs w:val="22"/>
        </w:rPr>
        <w:t xml:space="preserve">? .   .  . </w:t>
      </w:r>
      <w:r w:rsidRPr="005857AA">
        <w:rPr>
          <w:rFonts w:ascii="Helvetica" w:hAnsi="Helvetica" w:cs="Helvetica"/>
          <w:b/>
          <w:bCs/>
          <w:sz w:val="22"/>
          <w:szCs w:val="22"/>
        </w:rPr>
        <w:t xml:space="preserve">y se concluyo que  . . . .SI     </w:t>
      </w:r>
      <w:r w:rsidRPr="005857AA">
        <w:rPr>
          <w:rFonts w:ascii="Helvetica" w:hAnsi="Helvetica" w:cs="Helvetica"/>
          <w:spacing w:val="-2"/>
          <w:sz w:val="22"/>
          <w:szCs w:val="22"/>
        </w:rPr>
        <w:t>.</w:t>
      </w:r>
    </w:p>
    <w:p w:rsidR="005C7227" w:rsidRDefault="005C7227" w:rsidP="005C7227">
      <w:pPr>
        <w:rPr>
          <w:rFonts w:ascii="Arial" w:hAnsi="Arial"/>
          <w:sz w:val="22"/>
          <w:szCs w:val="22"/>
        </w:rPr>
      </w:pPr>
    </w:p>
    <w:p w:rsidR="004720DC" w:rsidRPr="005857AA" w:rsidRDefault="004720DC" w:rsidP="005C7227">
      <w:pPr>
        <w:rPr>
          <w:rFonts w:ascii="Arial" w:hAnsi="Arial"/>
          <w:sz w:val="22"/>
          <w:szCs w:val="22"/>
        </w:rPr>
      </w:pPr>
      <w:r w:rsidRPr="005857AA">
        <w:rPr>
          <w:rFonts w:ascii="Arial" w:hAnsi="Arial"/>
          <w:sz w:val="22"/>
          <w:szCs w:val="22"/>
        </w:rPr>
        <w:t>g)             Los objetivos de calidad son medibles y coherentes con la política de calidad</w:t>
      </w:r>
      <w:r w:rsidRPr="005857AA">
        <w:rPr>
          <w:rFonts w:ascii="Arial" w:hAnsi="Arial"/>
          <w:b/>
          <w:bCs/>
          <w:sz w:val="22"/>
          <w:szCs w:val="22"/>
        </w:rPr>
        <w:t>?.  .  .  .</w:t>
      </w:r>
      <w:r w:rsidRPr="005857AA">
        <w:rPr>
          <w:rFonts w:ascii="Arial" w:hAnsi="Arial"/>
          <w:sz w:val="22"/>
          <w:szCs w:val="22"/>
        </w:rPr>
        <w:t xml:space="preserve"> </w:t>
      </w:r>
      <w:r w:rsidRPr="005857AA">
        <w:rPr>
          <w:rFonts w:ascii="Helvetica" w:hAnsi="Helvetica" w:cs="Helvetica"/>
          <w:b/>
          <w:bCs/>
          <w:sz w:val="22"/>
          <w:szCs w:val="22"/>
        </w:rPr>
        <w:t xml:space="preserve">y se             concluyo que  . . . .SI     </w:t>
      </w:r>
    </w:p>
    <w:p w:rsidR="004720DC" w:rsidRPr="005857AA" w:rsidRDefault="004720DC" w:rsidP="004720DC">
      <w:pPr>
        <w:jc w:val="both"/>
        <w:rPr>
          <w:rFonts w:ascii="Arial" w:hAnsi="Arial"/>
          <w:sz w:val="22"/>
          <w:szCs w:val="22"/>
        </w:rPr>
      </w:pPr>
    </w:p>
    <w:p w:rsidR="004720DC" w:rsidRPr="005857AA" w:rsidRDefault="004720DC" w:rsidP="004720DC">
      <w:pPr>
        <w:jc w:val="both"/>
        <w:rPr>
          <w:rFonts w:ascii="Arial" w:hAnsi="Arial"/>
          <w:sz w:val="22"/>
          <w:szCs w:val="22"/>
        </w:rPr>
      </w:pPr>
    </w:p>
    <w:p w:rsidR="004720DC" w:rsidRPr="005857AA" w:rsidRDefault="004720DC" w:rsidP="004720DC">
      <w:pPr>
        <w:jc w:val="both"/>
        <w:rPr>
          <w:rFonts w:ascii="Arial" w:hAnsi="Arial"/>
          <w:sz w:val="22"/>
          <w:szCs w:val="22"/>
        </w:rPr>
      </w:pPr>
    </w:p>
    <w:p w:rsidR="004720DC" w:rsidRPr="005857AA" w:rsidRDefault="004720DC" w:rsidP="004720DC">
      <w:pPr>
        <w:jc w:val="both"/>
        <w:rPr>
          <w:rFonts w:ascii="Arial" w:hAnsi="Arial"/>
          <w:sz w:val="22"/>
          <w:szCs w:val="22"/>
        </w:rPr>
      </w:pPr>
      <w:r w:rsidRPr="005857AA">
        <w:rPr>
          <w:rFonts w:ascii="Arial" w:hAnsi="Arial"/>
          <w:sz w:val="22"/>
          <w:szCs w:val="22"/>
        </w:rPr>
        <w:t xml:space="preserve">De acuerdo a lo anterior se mantienen la política y los objetivos de calidad establecidos y aprobados en el manual de calidad </w:t>
      </w:r>
      <w:r w:rsidRPr="005857AA">
        <w:rPr>
          <w:rFonts w:ascii="Arial" w:hAnsi="Arial"/>
          <w:b/>
          <w:sz w:val="22"/>
          <w:szCs w:val="22"/>
        </w:rPr>
        <w:t xml:space="preserve">60.027.05-006, </w:t>
      </w:r>
      <w:r w:rsidRPr="005857AA">
        <w:rPr>
          <w:rFonts w:ascii="Arial" w:hAnsi="Arial"/>
          <w:sz w:val="22"/>
          <w:szCs w:val="22"/>
        </w:rPr>
        <w:t xml:space="preserve">hasta la siguiente revisión y/o hasta que una vez establecido el Plan de Acción de la entidad </w:t>
      </w:r>
      <w:r w:rsidRPr="005857AA">
        <w:rPr>
          <w:rFonts w:ascii="Arial" w:hAnsi="Arial" w:cs="Arial"/>
          <w:sz w:val="22"/>
          <w:szCs w:val="22"/>
        </w:rPr>
        <w:t>con los programas, proyectos y objetivos de tal forma que se requieran actualizar según el nuevo contexto y en procura de estar alineados con el plan de desarrollo del departamento.</w:t>
      </w:r>
    </w:p>
    <w:p w:rsidR="004720DC" w:rsidRPr="005857AA" w:rsidRDefault="004720DC" w:rsidP="004720DC">
      <w:pPr>
        <w:jc w:val="both"/>
        <w:rPr>
          <w:rFonts w:ascii="Arial" w:hAnsi="Arial"/>
          <w:sz w:val="22"/>
          <w:szCs w:val="22"/>
        </w:rPr>
      </w:pPr>
    </w:p>
    <w:p w:rsidR="004720DC" w:rsidRPr="005857AA" w:rsidRDefault="004720DC" w:rsidP="004720DC">
      <w:pPr>
        <w:pStyle w:val="Textoindependiente"/>
        <w:tabs>
          <w:tab w:val="clear" w:pos="360"/>
        </w:tabs>
        <w:rPr>
          <w:rFonts w:cs="Times New Roman"/>
          <w:sz w:val="22"/>
          <w:szCs w:val="22"/>
        </w:rPr>
      </w:pPr>
      <w:r w:rsidRPr="005857AA">
        <w:rPr>
          <w:rFonts w:cs="Times New Roman"/>
          <w:sz w:val="22"/>
          <w:szCs w:val="22"/>
        </w:rPr>
        <w:t>Una vez evaluados los indicadores de Gestión diseñados para medir los diferentes objetivos de calidad mediante la metodología del Cuadro de mando Podemos observar que se están cumpliendo los objetivos de calidad así:</w:t>
      </w:r>
    </w:p>
    <w:p w:rsidR="004720DC" w:rsidRDefault="004720DC" w:rsidP="004720DC">
      <w:pPr>
        <w:pStyle w:val="Textoindependiente"/>
        <w:tabs>
          <w:tab w:val="clear" w:pos="360"/>
        </w:tabs>
        <w:rPr>
          <w:rFonts w:cs="Times New Roman"/>
          <w:szCs w:val="20"/>
        </w:rPr>
      </w:pPr>
    </w:p>
    <w:p w:rsidR="004720DC" w:rsidRDefault="004720DC" w:rsidP="004720DC">
      <w:pPr>
        <w:pStyle w:val="Textoindependiente"/>
        <w:tabs>
          <w:tab w:val="clear" w:pos="360"/>
        </w:tabs>
        <w:rPr>
          <w:rFonts w:cs="Times New Roman"/>
          <w:szCs w:val="20"/>
        </w:rPr>
      </w:pPr>
    </w:p>
    <w:p w:rsidR="004720DC" w:rsidRDefault="00C47719" w:rsidP="004720DC">
      <w:pPr>
        <w:pStyle w:val="Textoindependiente"/>
        <w:tabs>
          <w:tab w:val="clear" w:pos="360"/>
        </w:tabs>
        <w:rPr>
          <w:rFonts w:cs="Times New Roman"/>
          <w:szCs w:val="20"/>
        </w:rPr>
      </w:pPr>
      <w:r w:rsidRPr="00C47719">
        <w:rPr>
          <w:noProof/>
        </w:rPr>
        <w:drawing>
          <wp:inline distT="0" distB="0" distL="0" distR="0">
            <wp:extent cx="5397547" cy="2751826"/>
            <wp:effectExtent l="19050" t="0" r="0" b="0"/>
            <wp:docPr id="1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0040" cy="2753097"/>
                    </a:xfrm>
                    <a:prstGeom prst="rect">
                      <a:avLst/>
                    </a:prstGeom>
                    <a:noFill/>
                    <a:ln>
                      <a:noFill/>
                    </a:ln>
                  </pic:spPr>
                </pic:pic>
              </a:graphicData>
            </a:graphic>
          </wp:inline>
        </w:drawing>
      </w:r>
    </w:p>
    <w:p w:rsidR="004720DC" w:rsidRDefault="004720DC" w:rsidP="004720DC">
      <w:pPr>
        <w:pStyle w:val="Textoindependiente"/>
        <w:tabs>
          <w:tab w:val="clear" w:pos="360"/>
        </w:tabs>
        <w:rPr>
          <w:rFonts w:cs="Times New Roman"/>
          <w:szCs w:val="20"/>
        </w:rPr>
      </w:pPr>
    </w:p>
    <w:p w:rsidR="004720DC" w:rsidRDefault="004720DC" w:rsidP="004720DC">
      <w:pPr>
        <w:tabs>
          <w:tab w:val="left" w:pos="360"/>
        </w:tabs>
        <w:jc w:val="both"/>
        <w:rPr>
          <w:rFonts w:ascii="Arial" w:hAnsi="Arial" w:cs="Arial"/>
          <w:b/>
          <w:bCs/>
          <w:sz w:val="16"/>
          <w:szCs w:val="14"/>
        </w:rPr>
      </w:pPr>
    </w:p>
    <w:p w:rsidR="004720DC" w:rsidRPr="005C7227" w:rsidRDefault="004720DC" w:rsidP="004720DC">
      <w:pPr>
        <w:tabs>
          <w:tab w:val="left" w:pos="360"/>
        </w:tabs>
        <w:jc w:val="center"/>
        <w:rPr>
          <w:sz w:val="22"/>
          <w:szCs w:val="22"/>
        </w:rPr>
      </w:pPr>
    </w:p>
    <w:p w:rsidR="004720DC" w:rsidRPr="005C7227" w:rsidRDefault="004720DC" w:rsidP="004720DC">
      <w:pPr>
        <w:tabs>
          <w:tab w:val="left" w:pos="360"/>
        </w:tabs>
        <w:jc w:val="both"/>
        <w:rPr>
          <w:rFonts w:ascii="Arial" w:hAnsi="Arial" w:cs="Arial"/>
          <w:sz w:val="22"/>
          <w:szCs w:val="22"/>
        </w:rPr>
      </w:pPr>
      <w:r w:rsidRPr="005C7227">
        <w:rPr>
          <w:rFonts w:ascii="Arial" w:hAnsi="Arial" w:cs="Arial"/>
          <w:sz w:val="22"/>
          <w:szCs w:val="22"/>
        </w:rPr>
        <w:t xml:space="preserve">Se observa que se debe reforzar la labor en los objetivo </w:t>
      </w:r>
      <w:r w:rsidRPr="005C7227">
        <w:rPr>
          <w:rFonts w:ascii="Arial" w:hAnsi="Arial" w:cs="Arial"/>
          <w:b/>
          <w:bCs/>
          <w:sz w:val="22"/>
          <w:szCs w:val="22"/>
        </w:rPr>
        <w:t xml:space="preserve">4, 7 y 10 </w:t>
      </w:r>
    </w:p>
    <w:p w:rsidR="004720DC" w:rsidRPr="005C7227" w:rsidRDefault="004720DC" w:rsidP="004720DC">
      <w:pPr>
        <w:tabs>
          <w:tab w:val="left" w:pos="360"/>
        </w:tabs>
        <w:jc w:val="both"/>
        <w:rPr>
          <w:rFonts w:ascii="Arial" w:hAnsi="Arial" w:cs="Arial"/>
          <w:sz w:val="22"/>
          <w:szCs w:val="22"/>
        </w:rPr>
      </w:pPr>
    </w:p>
    <w:p w:rsidR="004720DC" w:rsidRPr="005C7227" w:rsidRDefault="004720DC" w:rsidP="004720DC">
      <w:pPr>
        <w:tabs>
          <w:tab w:val="left" w:pos="360"/>
        </w:tabs>
        <w:jc w:val="both"/>
        <w:rPr>
          <w:rFonts w:ascii="Arial" w:hAnsi="Arial" w:cs="Arial"/>
          <w:b/>
          <w:bCs/>
          <w:sz w:val="22"/>
          <w:szCs w:val="22"/>
        </w:rPr>
      </w:pPr>
      <w:r w:rsidRPr="005C7227">
        <w:rPr>
          <w:rFonts w:ascii="Arial" w:hAnsi="Arial" w:cs="Arial"/>
          <w:b/>
          <w:bCs/>
          <w:sz w:val="22"/>
          <w:szCs w:val="22"/>
        </w:rPr>
        <w:t>OBJETIVO: 4 Desarrollar una Estructura Administrativa y financiera que permita Obtener una adecuada rentabilidad y que garantice la autonomia y supervivencia.</w:t>
      </w:r>
    </w:p>
    <w:p w:rsidR="004720DC" w:rsidRPr="005C7227" w:rsidRDefault="004720DC" w:rsidP="004720DC">
      <w:pPr>
        <w:tabs>
          <w:tab w:val="left" w:pos="360"/>
        </w:tabs>
        <w:jc w:val="both"/>
        <w:rPr>
          <w:rFonts w:ascii="Arial" w:hAnsi="Arial" w:cs="Arial"/>
          <w:b/>
          <w:bCs/>
          <w:sz w:val="22"/>
          <w:szCs w:val="22"/>
        </w:rPr>
      </w:pPr>
    </w:p>
    <w:p w:rsidR="004720DC" w:rsidRPr="005C7227" w:rsidRDefault="004720DC" w:rsidP="004720DC">
      <w:pPr>
        <w:tabs>
          <w:tab w:val="left" w:pos="360"/>
        </w:tabs>
        <w:jc w:val="both"/>
        <w:rPr>
          <w:rFonts w:ascii="Arial" w:hAnsi="Arial" w:cs="Arial"/>
          <w:b/>
          <w:bCs/>
          <w:sz w:val="22"/>
          <w:szCs w:val="22"/>
        </w:rPr>
      </w:pPr>
      <w:r w:rsidRPr="005C7227">
        <w:rPr>
          <w:rFonts w:ascii="Arial" w:hAnsi="Arial" w:cs="Arial"/>
          <w:b/>
          <w:bCs/>
          <w:sz w:val="22"/>
          <w:szCs w:val="22"/>
        </w:rPr>
        <w:t>OBJETIVO: 7 Mantener relaciones mutuamente beneficiosas con los proveedores para contar con talento humano y recursos  técnicos, administrativos y financieros de óptima calidad, para  garantizar  la prestación de los servicios del Instituto.</w:t>
      </w:r>
    </w:p>
    <w:p w:rsidR="004720DC" w:rsidRPr="005C7227" w:rsidRDefault="004720DC" w:rsidP="004720DC">
      <w:pPr>
        <w:tabs>
          <w:tab w:val="left" w:pos="360"/>
        </w:tabs>
        <w:jc w:val="both"/>
        <w:rPr>
          <w:rFonts w:ascii="Arial" w:hAnsi="Arial" w:cs="Arial"/>
          <w:b/>
          <w:bCs/>
          <w:sz w:val="22"/>
          <w:szCs w:val="22"/>
        </w:rPr>
      </w:pPr>
    </w:p>
    <w:p w:rsidR="004720DC" w:rsidRPr="005C7227" w:rsidRDefault="004720DC" w:rsidP="004720DC">
      <w:pPr>
        <w:tabs>
          <w:tab w:val="left" w:pos="360"/>
        </w:tabs>
        <w:jc w:val="both"/>
        <w:rPr>
          <w:rFonts w:ascii="Arial" w:hAnsi="Arial" w:cs="Arial"/>
          <w:b/>
          <w:bCs/>
          <w:sz w:val="22"/>
          <w:szCs w:val="22"/>
        </w:rPr>
      </w:pPr>
      <w:r w:rsidRPr="005C7227">
        <w:rPr>
          <w:rFonts w:ascii="Arial" w:hAnsi="Arial" w:cs="Arial"/>
          <w:b/>
          <w:bCs/>
          <w:sz w:val="22"/>
          <w:szCs w:val="22"/>
        </w:rPr>
        <w:t>OBJETIVO: 10 Promover el fortalecimiento y desarrollo de los entes territoriales y entidades descentralizadas, a través de la prestación oportuna de servicios financieros competitivos que promuevan la inversión social, el desarrollo económico y cultural de la región.</w:t>
      </w:r>
    </w:p>
    <w:p w:rsidR="004720DC" w:rsidRPr="005C7227" w:rsidRDefault="004720DC" w:rsidP="004720DC">
      <w:pPr>
        <w:tabs>
          <w:tab w:val="left" w:pos="360"/>
        </w:tabs>
        <w:jc w:val="both"/>
        <w:rPr>
          <w:rFonts w:ascii="Arial" w:hAnsi="Arial" w:cs="Arial"/>
          <w:b/>
          <w:bCs/>
          <w:sz w:val="22"/>
          <w:szCs w:val="22"/>
        </w:rPr>
      </w:pPr>
    </w:p>
    <w:p w:rsidR="004720DC" w:rsidRPr="005C7227" w:rsidRDefault="004720DC" w:rsidP="004720DC">
      <w:pPr>
        <w:tabs>
          <w:tab w:val="left" w:pos="360"/>
        </w:tabs>
        <w:jc w:val="both"/>
        <w:rPr>
          <w:rFonts w:ascii="Arial" w:hAnsi="Arial" w:cs="Arial"/>
          <w:b/>
          <w:bCs/>
          <w:sz w:val="22"/>
          <w:szCs w:val="22"/>
        </w:rPr>
      </w:pPr>
    </w:p>
    <w:p w:rsidR="004720DC" w:rsidRDefault="004720DC" w:rsidP="004720DC">
      <w:pPr>
        <w:tabs>
          <w:tab w:val="left" w:pos="360"/>
        </w:tabs>
        <w:jc w:val="both"/>
        <w:rPr>
          <w:rFonts w:ascii="Arial" w:hAnsi="Arial" w:cs="Arial"/>
          <w:b/>
          <w:bCs/>
          <w:sz w:val="16"/>
          <w:szCs w:val="16"/>
        </w:rPr>
      </w:pPr>
    </w:p>
    <w:p w:rsidR="004720DC" w:rsidRDefault="004720DC" w:rsidP="004720DC">
      <w:pPr>
        <w:tabs>
          <w:tab w:val="left" w:pos="360"/>
        </w:tabs>
        <w:jc w:val="both"/>
        <w:rPr>
          <w:rFonts w:ascii="Arial" w:hAnsi="Arial" w:cs="Arial"/>
          <w:sz w:val="16"/>
          <w:szCs w:val="14"/>
        </w:rPr>
      </w:pPr>
    </w:p>
    <w:p w:rsidR="004720DC" w:rsidRDefault="004720DC" w:rsidP="004720DC">
      <w:pPr>
        <w:rPr>
          <w:rFonts w:ascii="Arial" w:hAnsi="Arial" w:cs="Arial"/>
          <w:b/>
          <w:bCs/>
          <w:color w:val="008000"/>
          <w:szCs w:val="14"/>
        </w:rPr>
      </w:pPr>
      <w:r>
        <w:rPr>
          <w:rFonts w:ascii="Arial" w:hAnsi="Arial" w:cs="Arial"/>
          <w:b/>
          <w:bCs/>
          <w:color w:val="008000"/>
          <w:szCs w:val="14"/>
        </w:rPr>
        <w:br w:type="page"/>
      </w:r>
    </w:p>
    <w:p w:rsidR="004720DC" w:rsidRPr="005C7227" w:rsidRDefault="004720DC" w:rsidP="004720DC">
      <w:pPr>
        <w:tabs>
          <w:tab w:val="left" w:pos="360"/>
        </w:tabs>
        <w:jc w:val="both"/>
        <w:rPr>
          <w:rFonts w:ascii="Arial" w:hAnsi="Arial" w:cs="Arial"/>
          <w:b/>
          <w:bCs/>
          <w:color w:val="008000"/>
          <w:sz w:val="22"/>
          <w:szCs w:val="22"/>
        </w:rPr>
      </w:pPr>
      <w:r w:rsidRPr="005C7227">
        <w:rPr>
          <w:rFonts w:ascii="Arial" w:hAnsi="Arial" w:cs="Arial"/>
          <w:b/>
          <w:bCs/>
          <w:color w:val="008000"/>
          <w:sz w:val="22"/>
          <w:szCs w:val="22"/>
        </w:rPr>
        <w:t>12. CONCLUSIÓN DE LA EFICACIA, EFICIENCIA Y EFECTIVIDAD DEL S.G.C.</w:t>
      </w:r>
    </w:p>
    <w:p w:rsidR="004720DC" w:rsidRPr="005C7227" w:rsidRDefault="004720DC" w:rsidP="004720DC">
      <w:pPr>
        <w:ind w:left="360"/>
        <w:jc w:val="both"/>
        <w:rPr>
          <w:rFonts w:ascii="Arial" w:hAnsi="Arial" w:cs="Arial"/>
          <w:b/>
          <w:bCs/>
          <w:sz w:val="22"/>
          <w:szCs w:val="22"/>
        </w:rPr>
      </w:pPr>
    </w:p>
    <w:p w:rsidR="004720DC" w:rsidRPr="005C7227" w:rsidRDefault="004720DC" w:rsidP="004720DC">
      <w:pPr>
        <w:jc w:val="both"/>
        <w:rPr>
          <w:rFonts w:ascii="Arial" w:hAnsi="Arial" w:cs="Arial"/>
          <w:b/>
          <w:bCs/>
          <w:sz w:val="22"/>
          <w:szCs w:val="22"/>
        </w:rPr>
      </w:pPr>
    </w:p>
    <w:p w:rsidR="004720DC" w:rsidRPr="005C7227" w:rsidRDefault="004720DC" w:rsidP="004720DC">
      <w:pPr>
        <w:pStyle w:val="Textoindependiente"/>
        <w:tabs>
          <w:tab w:val="clear" w:pos="360"/>
        </w:tabs>
        <w:rPr>
          <w:sz w:val="22"/>
          <w:szCs w:val="22"/>
        </w:rPr>
      </w:pPr>
      <w:r w:rsidRPr="005C7227">
        <w:rPr>
          <w:sz w:val="22"/>
          <w:szCs w:val="22"/>
        </w:rPr>
        <w:t>Mediante la Auto evaluación de los indicadores de gestión de acuerdo con el Manual de Evaluación y Control de la Gestión y reflejado en el Cuadro de Mando se puede evidenciar de acuerdo a los resulta</w:t>
      </w:r>
      <w:r w:rsidR="00162D81" w:rsidRPr="005C7227">
        <w:rPr>
          <w:sz w:val="22"/>
          <w:szCs w:val="22"/>
        </w:rPr>
        <w:t>dos del Segundo Semestre de 2014</w:t>
      </w:r>
      <w:r w:rsidRPr="005C7227">
        <w:rPr>
          <w:sz w:val="22"/>
          <w:szCs w:val="22"/>
        </w:rPr>
        <w:t xml:space="preserve"> que: </w:t>
      </w:r>
    </w:p>
    <w:p w:rsidR="005C7227" w:rsidRDefault="005C7227" w:rsidP="004720DC">
      <w:pPr>
        <w:tabs>
          <w:tab w:val="left" w:pos="360"/>
        </w:tabs>
        <w:jc w:val="both"/>
        <w:rPr>
          <w:rFonts w:ascii="Arial" w:hAnsi="Arial" w:cs="Arial"/>
          <w:b/>
          <w:i/>
          <w:sz w:val="22"/>
          <w:szCs w:val="22"/>
        </w:rPr>
      </w:pPr>
    </w:p>
    <w:p w:rsidR="004720DC" w:rsidRPr="005C7227" w:rsidRDefault="004720DC" w:rsidP="004720DC">
      <w:pPr>
        <w:tabs>
          <w:tab w:val="left" w:pos="360"/>
        </w:tabs>
        <w:jc w:val="both"/>
        <w:rPr>
          <w:rFonts w:ascii="Arial" w:hAnsi="Arial" w:cs="Arial"/>
          <w:b/>
          <w:i/>
          <w:sz w:val="22"/>
          <w:szCs w:val="22"/>
        </w:rPr>
      </w:pPr>
      <w:r w:rsidRPr="005C7227">
        <w:rPr>
          <w:rFonts w:ascii="Arial" w:hAnsi="Arial" w:cs="Arial"/>
          <w:b/>
          <w:i/>
          <w:sz w:val="22"/>
          <w:szCs w:val="22"/>
        </w:rPr>
        <w:t xml:space="preserve">El comportamiento de la Eficacia </w:t>
      </w:r>
      <w:r w:rsidR="002D0B4B" w:rsidRPr="005C7227">
        <w:rPr>
          <w:rFonts w:ascii="Arial" w:hAnsi="Arial" w:cs="Arial"/>
          <w:b/>
          <w:bCs/>
          <w:i/>
          <w:sz w:val="22"/>
          <w:szCs w:val="22"/>
        </w:rPr>
        <w:t>(80</w:t>
      </w:r>
      <w:r w:rsidRPr="005C7227">
        <w:rPr>
          <w:rFonts w:ascii="Arial" w:hAnsi="Arial" w:cs="Arial"/>
          <w:b/>
          <w:bCs/>
          <w:i/>
          <w:sz w:val="22"/>
          <w:szCs w:val="22"/>
        </w:rPr>
        <w:t>%),</w:t>
      </w:r>
      <w:r w:rsidRPr="005C7227">
        <w:rPr>
          <w:rFonts w:ascii="Arial" w:hAnsi="Arial" w:cs="Arial"/>
          <w:b/>
          <w:i/>
          <w:sz w:val="22"/>
          <w:szCs w:val="22"/>
        </w:rPr>
        <w:t xml:space="preserve"> la Eficiencia </w:t>
      </w:r>
      <w:r w:rsidR="002D0B4B" w:rsidRPr="005C7227">
        <w:rPr>
          <w:rFonts w:ascii="Arial" w:hAnsi="Arial" w:cs="Arial"/>
          <w:b/>
          <w:bCs/>
          <w:i/>
          <w:sz w:val="22"/>
          <w:szCs w:val="22"/>
        </w:rPr>
        <w:t>(99</w:t>
      </w:r>
      <w:r w:rsidRPr="005C7227">
        <w:rPr>
          <w:rFonts w:ascii="Arial" w:hAnsi="Arial" w:cs="Arial"/>
          <w:b/>
          <w:bCs/>
          <w:i/>
          <w:sz w:val="22"/>
          <w:szCs w:val="22"/>
        </w:rPr>
        <w:t>%)</w:t>
      </w:r>
      <w:r w:rsidRPr="005C7227">
        <w:rPr>
          <w:rFonts w:ascii="Arial" w:hAnsi="Arial" w:cs="Arial"/>
          <w:b/>
          <w:i/>
          <w:sz w:val="22"/>
          <w:szCs w:val="22"/>
        </w:rPr>
        <w:t xml:space="preserve"> y la Efectividad </w:t>
      </w:r>
      <w:r w:rsidR="002D0B4B" w:rsidRPr="005C7227">
        <w:rPr>
          <w:rFonts w:ascii="Arial" w:hAnsi="Arial" w:cs="Arial"/>
          <w:b/>
          <w:bCs/>
          <w:i/>
          <w:sz w:val="22"/>
          <w:szCs w:val="22"/>
        </w:rPr>
        <w:t>(100</w:t>
      </w:r>
      <w:r w:rsidRPr="005C7227">
        <w:rPr>
          <w:rFonts w:ascii="Arial" w:hAnsi="Arial" w:cs="Arial"/>
          <w:b/>
          <w:bCs/>
          <w:i/>
          <w:sz w:val="22"/>
          <w:szCs w:val="22"/>
        </w:rPr>
        <w:t>%)</w:t>
      </w:r>
      <w:r w:rsidRPr="005C7227">
        <w:rPr>
          <w:rFonts w:ascii="Arial" w:hAnsi="Arial" w:cs="Arial"/>
          <w:b/>
          <w:i/>
          <w:sz w:val="22"/>
          <w:szCs w:val="22"/>
        </w:rPr>
        <w:t xml:space="preserve"> del Idesan en el último trimestre se encuentran en un rango Excelente.</w:t>
      </w:r>
    </w:p>
    <w:p w:rsidR="004720DC" w:rsidRPr="005C7227" w:rsidRDefault="004720DC" w:rsidP="004720DC">
      <w:pPr>
        <w:tabs>
          <w:tab w:val="left" w:pos="360"/>
        </w:tabs>
        <w:jc w:val="both"/>
        <w:rPr>
          <w:rFonts w:ascii="Arial" w:hAnsi="Arial" w:cs="Arial"/>
          <w:b/>
          <w:i/>
          <w:sz w:val="22"/>
          <w:szCs w:val="22"/>
        </w:rPr>
      </w:pPr>
    </w:p>
    <w:p w:rsidR="004720DC" w:rsidRPr="00F25410" w:rsidRDefault="002D0B4B" w:rsidP="004720DC">
      <w:pPr>
        <w:tabs>
          <w:tab w:val="left" w:pos="360"/>
        </w:tabs>
        <w:jc w:val="both"/>
        <w:rPr>
          <w:rFonts w:ascii="Arial" w:hAnsi="Arial" w:cs="Arial"/>
          <w:b/>
          <w:i/>
        </w:rPr>
      </w:pPr>
      <w:r>
        <w:rPr>
          <w:noProof/>
        </w:rPr>
        <w:drawing>
          <wp:inline distT="0" distB="0" distL="0" distR="0">
            <wp:extent cx="5400040" cy="3115885"/>
            <wp:effectExtent l="19050" t="0" r="10160" b="27365"/>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720DC" w:rsidRPr="00B6327F" w:rsidRDefault="004720DC" w:rsidP="004720DC">
      <w:pPr>
        <w:tabs>
          <w:tab w:val="left" w:pos="360"/>
        </w:tabs>
        <w:jc w:val="center"/>
        <w:rPr>
          <w:rFonts w:ascii="Arial" w:hAnsi="Arial" w:cs="Arial"/>
        </w:rPr>
      </w:pPr>
    </w:p>
    <w:p w:rsidR="004720DC" w:rsidRDefault="004720DC" w:rsidP="004720DC">
      <w:pPr>
        <w:jc w:val="both"/>
        <w:rPr>
          <w:rFonts w:ascii="Arial" w:hAnsi="Arial" w:cs="Arial"/>
          <w:sz w:val="24"/>
          <w:szCs w:val="24"/>
        </w:rPr>
      </w:pPr>
      <w:r w:rsidRPr="00F25410">
        <w:rPr>
          <w:rFonts w:ascii="Arial" w:hAnsi="Arial" w:cs="Arial"/>
          <w:sz w:val="24"/>
          <w:szCs w:val="24"/>
        </w:rPr>
        <w:t>En la Grafica anterior podemos notar el comportamiento de la Eficacia del Sistema Integrado de Gestión de la Calidad y el Control Intern</w:t>
      </w:r>
      <w:r>
        <w:rPr>
          <w:rFonts w:ascii="Arial" w:hAnsi="Arial" w:cs="Arial"/>
          <w:sz w:val="24"/>
          <w:szCs w:val="24"/>
        </w:rPr>
        <w:t>o del Idesan dur</w:t>
      </w:r>
      <w:r w:rsidR="00C47719">
        <w:rPr>
          <w:rFonts w:ascii="Arial" w:hAnsi="Arial" w:cs="Arial"/>
          <w:sz w:val="24"/>
          <w:szCs w:val="24"/>
        </w:rPr>
        <w:t>ante el Segundo semestre de 2014</w:t>
      </w:r>
      <w:r w:rsidRPr="00F25410">
        <w:rPr>
          <w:rFonts w:ascii="Arial" w:hAnsi="Arial" w:cs="Arial"/>
          <w:sz w:val="24"/>
          <w:szCs w:val="24"/>
        </w:rPr>
        <w:t xml:space="preserve">, con </w:t>
      </w:r>
      <w:r w:rsidR="002D0B4B">
        <w:rPr>
          <w:rFonts w:ascii="Arial" w:hAnsi="Arial" w:cs="Arial"/>
          <w:b/>
          <w:sz w:val="24"/>
          <w:szCs w:val="24"/>
        </w:rPr>
        <w:t>80</w:t>
      </w:r>
      <w:r w:rsidRPr="00F25410">
        <w:rPr>
          <w:rFonts w:ascii="Arial" w:hAnsi="Arial" w:cs="Arial"/>
          <w:b/>
          <w:sz w:val="24"/>
          <w:szCs w:val="24"/>
        </w:rPr>
        <w:t>%</w:t>
      </w:r>
      <w:r w:rsidRPr="00F25410">
        <w:rPr>
          <w:rFonts w:ascii="Arial" w:hAnsi="Arial" w:cs="Arial"/>
          <w:sz w:val="24"/>
          <w:szCs w:val="24"/>
        </w:rPr>
        <w:t xml:space="preserve">  </w:t>
      </w:r>
      <w:r w:rsidRPr="00F25410">
        <w:rPr>
          <w:rFonts w:ascii="Arial" w:hAnsi="Arial" w:cs="Arial"/>
          <w:b/>
          <w:bCs/>
          <w:color w:val="008000"/>
          <w:sz w:val="24"/>
          <w:szCs w:val="24"/>
        </w:rPr>
        <w:t>EXCELENTE</w:t>
      </w:r>
      <w:r w:rsidRPr="00F25410">
        <w:rPr>
          <w:rFonts w:ascii="Arial" w:hAnsi="Arial" w:cs="Arial"/>
          <w:sz w:val="24"/>
          <w:szCs w:val="24"/>
        </w:rPr>
        <w:t>, de acuerdo a los criterios establecidos.</w:t>
      </w:r>
    </w:p>
    <w:p w:rsidR="002D0B4B" w:rsidRPr="00F25410" w:rsidRDefault="002D0B4B" w:rsidP="004720DC">
      <w:pPr>
        <w:jc w:val="both"/>
        <w:rPr>
          <w:rFonts w:ascii="Arial" w:hAnsi="Arial" w:cs="Arial"/>
          <w:sz w:val="24"/>
          <w:szCs w:val="24"/>
        </w:rPr>
      </w:pPr>
    </w:p>
    <w:p w:rsidR="004720DC" w:rsidRDefault="002D0B4B" w:rsidP="004720DC">
      <w:pPr>
        <w:jc w:val="both"/>
        <w:rPr>
          <w:rFonts w:ascii="Arial" w:hAnsi="Arial" w:cs="Arial"/>
          <w:sz w:val="16"/>
          <w:szCs w:val="14"/>
        </w:rPr>
      </w:pPr>
      <w:r>
        <w:rPr>
          <w:noProof/>
        </w:rPr>
        <w:drawing>
          <wp:inline distT="0" distB="0" distL="0" distR="0">
            <wp:extent cx="5384800" cy="2981764"/>
            <wp:effectExtent l="19050" t="0" r="25400" b="28136"/>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720DC" w:rsidRDefault="004720DC" w:rsidP="004720DC">
      <w:pPr>
        <w:jc w:val="both"/>
        <w:rPr>
          <w:rFonts w:ascii="Arial" w:hAnsi="Arial" w:cs="Arial"/>
          <w:sz w:val="16"/>
          <w:szCs w:val="14"/>
        </w:rPr>
      </w:pPr>
    </w:p>
    <w:p w:rsidR="004720DC" w:rsidRDefault="004720DC" w:rsidP="004720DC">
      <w:pPr>
        <w:jc w:val="center"/>
        <w:rPr>
          <w:rFonts w:ascii="Arial" w:hAnsi="Arial" w:cs="Arial"/>
          <w:sz w:val="16"/>
          <w:szCs w:val="14"/>
        </w:rPr>
      </w:pPr>
    </w:p>
    <w:p w:rsidR="004720DC" w:rsidRDefault="004720DC" w:rsidP="004720DC">
      <w:pPr>
        <w:rPr>
          <w:rFonts w:ascii="Arial" w:hAnsi="Arial" w:cs="Arial"/>
          <w:sz w:val="24"/>
          <w:szCs w:val="24"/>
        </w:rPr>
      </w:pPr>
    </w:p>
    <w:p w:rsidR="004720DC" w:rsidRDefault="004720DC" w:rsidP="004720DC">
      <w:pPr>
        <w:jc w:val="both"/>
        <w:rPr>
          <w:rFonts w:ascii="Arial" w:hAnsi="Arial" w:cs="Arial"/>
          <w:sz w:val="24"/>
          <w:szCs w:val="24"/>
        </w:rPr>
      </w:pPr>
      <w:r w:rsidRPr="00F25410">
        <w:rPr>
          <w:rFonts w:ascii="Arial" w:hAnsi="Arial" w:cs="Arial"/>
          <w:sz w:val="24"/>
          <w:szCs w:val="24"/>
        </w:rPr>
        <w:t>En la Grafica podemos notar el comportamiento de la Eficiencia del Sistema Integrado de Gestión de la Calidad y el Control Intern</w:t>
      </w:r>
      <w:r>
        <w:rPr>
          <w:rFonts w:ascii="Arial" w:hAnsi="Arial" w:cs="Arial"/>
          <w:sz w:val="24"/>
          <w:szCs w:val="24"/>
        </w:rPr>
        <w:t>o del Idesan dur</w:t>
      </w:r>
      <w:r w:rsidR="002D0B4B">
        <w:rPr>
          <w:rFonts w:ascii="Arial" w:hAnsi="Arial" w:cs="Arial"/>
          <w:sz w:val="24"/>
          <w:szCs w:val="24"/>
        </w:rPr>
        <w:t>ante el Segundo semestre de 2014</w:t>
      </w:r>
      <w:r w:rsidRPr="00F25410">
        <w:rPr>
          <w:rFonts w:ascii="Arial" w:hAnsi="Arial" w:cs="Arial"/>
          <w:sz w:val="24"/>
          <w:szCs w:val="24"/>
        </w:rPr>
        <w:t xml:space="preserve">, Se termino con el </w:t>
      </w:r>
      <w:r w:rsidR="002D0B4B">
        <w:rPr>
          <w:rFonts w:ascii="Arial" w:hAnsi="Arial" w:cs="Arial"/>
          <w:b/>
          <w:bCs/>
          <w:sz w:val="24"/>
          <w:szCs w:val="24"/>
        </w:rPr>
        <w:t>99</w:t>
      </w:r>
      <w:r w:rsidRPr="00F25410">
        <w:rPr>
          <w:rFonts w:ascii="Arial" w:hAnsi="Arial" w:cs="Arial"/>
          <w:b/>
          <w:bCs/>
          <w:sz w:val="24"/>
          <w:szCs w:val="24"/>
        </w:rPr>
        <w:t>%</w:t>
      </w:r>
      <w:r w:rsidRPr="00F25410">
        <w:rPr>
          <w:rFonts w:ascii="Arial" w:hAnsi="Arial" w:cs="Arial"/>
          <w:sz w:val="24"/>
          <w:szCs w:val="24"/>
        </w:rPr>
        <w:t xml:space="preserve"> de Eficiencia, lo que la califica con una gestión  </w:t>
      </w:r>
      <w:r w:rsidRPr="00F25410">
        <w:rPr>
          <w:rFonts w:ascii="Arial" w:hAnsi="Arial" w:cs="Arial"/>
          <w:b/>
          <w:bCs/>
          <w:color w:val="008000"/>
          <w:sz w:val="24"/>
          <w:szCs w:val="24"/>
        </w:rPr>
        <w:t>EXCELENTE</w:t>
      </w:r>
      <w:r w:rsidRPr="00F25410">
        <w:rPr>
          <w:rFonts w:ascii="Arial" w:hAnsi="Arial" w:cs="Arial"/>
          <w:sz w:val="24"/>
          <w:szCs w:val="24"/>
        </w:rPr>
        <w:t>, de acuerdo a los criterios establecidos</w:t>
      </w:r>
      <w:r>
        <w:rPr>
          <w:rFonts w:ascii="Arial" w:hAnsi="Arial" w:cs="Arial"/>
          <w:sz w:val="24"/>
          <w:szCs w:val="24"/>
        </w:rPr>
        <w:t>.</w:t>
      </w:r>
    </w:p>
    <w:p w:rsidR="004720DC" w:rsidRPr="00F25410" w:rsidRDefault="004720DC" w:rsidP="004720DC">
      <w:pPr>
        <w:jc w:val="both"/>
        <w:rPr>
          <w:rFonts w:ascii="Arial" w:hAnsi="Arial" w:cs="Arial"/>
          <w:sz w:val="24"/>
          <w:szCs w:val="24"/>
        </w:rPr>
      </w:pPr>
    </w:p>
    <w:p w:rsidR="004720DC" w:rsidRDefault="004720DC" w:rsidP="004720DC">
      <w:pPr>
        <w:rPr>
          <w:rFonts w:ascii="Arial" w:hAnsi="Arial" w:cs="Arial"/>
          <w:sz w:val="24"/>
          <w:szCs w:val="24"/>
        </w:rPr>
      </w:pPr>
    </w:p>
    <w:p w:rsidR="004720DC" w:rsidRDefault="002D0B4B" w:rsidP="004720DC">
      <w:pPr>
        <w:jc w:val="both"/>
        <w:rPr>
          <w:rFonts w:ascii="Arial" w:hAnsi="Arial" w:cs="Arial"/>
          <w:sz w:val="24"/>
          <w:szCs w:val="24"/>
        </w:rPr>
      </w:pPr>
      <w:r>
        <w:rPr>
          <w:noProof/>
        </w:rPr>
        <w:drawing>
          <wp:inline distT="0" distB="0" distL="0" distR="0">
            <wp:extent cx="5359400" cy="2959100"/>
            <wp:effectExtent l="19050" t="0" r="12700" b="1270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720DC" w:rsidRPr="00F25410" w:rsidRDefault="004720DC" w:rsidP="004720DC">
      <w:pPr>
        <w:jc w:val="both"/>
        <w:rPr>
          <w:rFonts w:ascii="Arial" w:hAnsi="Arial" w:cs="Arial"/>
          <w:sz w:val="24"/>
          <w:szCs w:val="24"/>
        </w:rPr>
      </w:pPr>
      <w:r w:rsidRPr="00F25410">
        <w:rPr>
          <w:rFonts w:ascii="Arial" w:hAnsi="Arial" w:cs="Arial"/>
          <w:sz w:val="24"/>
          <w:szCs w:val="24"/>
        </w:rPr>
        <w:t>En la Grafica y el cuadro anterior podemos notar el comportamiento de la Efectividad del Sistema Integrado de Gestión de la Calidad y el Control Intern</w:t>
      </w:r>
      <w:r>
        <w:rPr>
          <w:rFonts w:ascii="Arial" w:hAnsi="Arial" w:cs="Arial"/>
          <w:sz w:val="24"/>
          <w:szCs w:val="24"/>
        </w:rPr>
        <w:t>o del Idesan dur</w:t>
      </w:r>
      <w:r w:rsidR="002D0B4B">
        <w:rPr>
          <w:rFonts w:ascii="Arial" w:hAnsi="Arial" w:cs="Arial"/>
          <w:sz w:val="24"/>
          <w:szCs w:val="24"/>
        </w:rPr>
        <w:t>ante el segundo semestre de 2014</w:t>
      </w:r>
      <w:r w:rsidRPr="00F25410">
        <w:rPr>
          <w:rFonts w:ascii="Arial" w:hAnsi="Arial" w:cs="Arial"/>
          <w:sz w:val="24"/>
          <w:szCs w:val="24"/>
        </w:rPr>
        <w:t xml:space="preserve">, Se termino con el </w:t>
      </w:r>
      <w:r w:rsidR="002D0B4B">
        <w:rPr>
          <w:rFonts w:ascii="Arial" w:hAnsi="Arial" w:cs="Arial"/>
          <w:b/>
          <w:bCs/>
          <w:sz w:val="24"/>
          <w:szCs w:val="24"/>
        </w:rPr>
        <w:t>100</w:t>
      </w:r>
      <w:r w:rsidRPr="00F25410">
        <w:rPr>
          <w:rFonts w:ascii="Arial" w:hAnsi="Arial" w:cs="Arial"/>
          <w:b/>
          <w:bCs/>
          <w:sz w:val="24"/>
          <w:szCs w:val="24"/>
        </w:rPr>
        <w:t>%</w:t>
      </w:r>
      <w:r w:rsidRPr="00F25410">
        <w:rPr>
          <w:rFonts w:ascii="Arial" w:hAnsi="Arial" w:cs="Arial"/>
          <w:sz w:val="24"/>
          <w:szCs w:val="24"/>
        </w:rPr>
        <w:t xml:space="preserve"> de Efectividad, lo que la califica con una gestión  </w:t>
      </w:r>
      <w:r w:rsidRPr="00F25410">
        <w:rPr>
          <w:rFonts w:ascii="Arial" w:hAnsi="Arial" w:cs="Arial"/>
          <w:b/>
          <w:bCs/>
          <w:color w:val="008000"/>
          <w:sz w:val="24"/>
          <w:szCs w:val="24"/>
        </w:rPr>
        <w:t>EXCELENTE</w:t>
      </w:r>
      <w:r w:rsidRPr="00F25410">
        <w:rPr>
          <w:rFonts w:ascii="Arial" w:hAnsi="Arial" w:cs="Arial"/>
          <w:sz w:val="24"/>
          <w:szCs w:val="24"/>
        </w:rPr>
        <w:t>, de acuerdo a los criterios establecidos</w:t>
      </w:r>
    </w:p>
    <w:p w:rsidR="002D0B4B" w:rsidRDefault="002D0B4B" w:rsidP="004720DC">
      <w:pPr>
        <w:rPr>
          <w:rFonts w:ascii="Arial" w:hAnsi="Arial" w:cs="Arial"/>
          <w:sz w:val="16"/>
          <w:szCs w:val="14"/>
        </w:rPr>
      </w:pPr>
    </w:p>
    <w:p w:rsidR="004720DC" w:rsidRDefault="004720DC" w:rsidP="004720DC">
      <w:pPr>
        <w:rPr>
          <w:rFonts w:ascii="Arial" w:hAnsi="Arial" w:cs="Arial"/>
          <w:sz w:val="16"/>
          <w:szCs w:val="14"/>
        </w:rPr>
      </w:pPr>
    </w:p>
    <w:p w:rsidR="004720DC" w:rsidRPr="00295A4B" w:rsidRDefault="004720DC" w:rsidP="004720DC">
      <w:pPr>
        <w:tabs>
          <w:tab w:val="left" w:pos="360"/>
        </w:tabs>
        <w:jc w:val="both"/>
        <w:rPr>
          <w:rFonts w:ascii="Arial" w:hAnsi="Arial" w:cs="Arial"/>
          <w:b/>
          <w:bCs/>
          <w:sz w:val="24"/>
          <w:szCs w:val="24"/>
        </w:rPr>
      </w:pPr>
      <w:r w:rsidRPr="00295A4B">
        <w:rPr>
          <w:rFonts w:ascii="Arial" w:hAnsi="Arial" w:cs="Arial"/>
          <w:sz w:val="24"/>
          <w:szCs w:val="24"/>
        </w:rPr>
        <w:t xml:space="preserve">Lo que nos permite concluir que se están cumpliendo los objetivos del S.G.C. y Control interno, como consecuencia se está cumpliendo la Política de calidad del Instituto en un </w:t>
      </w:r>
      <w:r w:rsidR="002D0B4B">
        <w:rPr>
          <w:rFonts w:ascii="Arial" w:hAnsi="Arial" w:cs="Arial"/>
          <w:b/>
          <w:bCs/>
          <w:sz w:val="24"/>
          <w:szCs w:val="24"/>
        </w:rPr>
        <w:t>(93</w:t>
      </w:r>
      <w:r w:rsidRPr="00295A4B">
        <w:rPr>
          <w:rFonts w:ascii="Arial" w:hAnsi="Arial" w:cs="Arial"/>
          <w:b/>
          <w:bCs/>
          <w:sz w:val="24"/>
          <w:szCs w:val="24"/>
        </w:rPr>
        <w:t>%).</w:t>
      </w:r>
    </w:p>
    <w:p w:rsidR="004720DC" w:rsidRDefault="004720DC" w:rsidP="004720DC">
      <w:pPr>
        <w:rPr>
          <w:rFonts w:ascii="Arial" w:hAnsi="Arial" w:cs="Arial"/>
          <w:sz w:val="24"/>
          <w:szCs w:val="24"/>
        </w:rPr>
      </w:pPr>
    </w:p>
    <w:p w:rsidR="004720DC" w:rsidRDefault="002D0B4B" w:rsidP="004720DC">
      <w:pPr>
        <w:rPr>
          <w:rFonts w:ascii="Arial" w:hAnsi="Arial" w:cs="Arial"/>
          <w:sz w:val="24"/>
          <w:szCs w:val="24"/>
        </w:rPr>
      </w:pPr>
      <w:r>
        <w:rPr>
          <w:noProof/>
        </w:rPr>
        <w:drawing>
          <wp:inline distT="0" distB="0" distL="0" distR="0">
            <wp:extent cx="5325254" cy="2579778"/>
            <wp:effectExtent l="19050" t="0" r="27796" b="11022"/>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D0B4B" w:rsidRPr="005C7227" w:rsidRDefault="002D0B4B" w:rsidP="004720DC">
      <w:pPr>
        <w:rPr>
          <w:rFonts w:ascii="Arial" w:hAnsi="Arial" w:cs="Arial"/>
          <w:sz w:val="22"/>
          <w:szCs w:val="24"/>
        </w:rPr>
      </w:pPr>
    </w:p>
    <w:p w:rsidR="004720DC" w:rsidRPr="005C7227" w:rsidRDefault="004720DC" w:rsidP="004720DC">
      <w:pPr>
        <w:jc w:val="both"/>
        <w:rPr>
          <w:rFonts w:ascii="Arial" w:hAnsi="Arial" w:cs="Arial"/>
          <w:sz w:val="22"/>
          <w:szCs w:val="24"/>
        </w:rPr>
      </w:pPr>
      <w:r w:rsidRPr="005C7227">
        <w:rPr>
          <w:rFonts w:ascii="Arial" w:hAnsi="Arial" w:cs="Arial"/>
          <w:sz w:val="22"/>
          <w:szCs w:val="24"/>
        </w:rPr>
        <w:t>En la Grafica podemos notar el comportamiento del cumplimiento de la política del Sistema Integrado de Gestión de la Calidad y el Control Interno del Idesan dura</w:t>
      </w:r>
      <w:r w:rsidR="002D0B4B" w:rsidRPr="005C7227">
        <w:rPr>
          <w:rFonts w:ascii="Arial" w:hAnsi="Arial" w:cs="Arial"/>
          <w:sz w:val="22"/>
          <w:szCs w:val="24"/>
        </w:rPr>
        <w:t>nte el segundo semestre del 2014</w:t>
      </w:r>
      <w:r w:rsidRPr="005C7227">
        <w:rPr>
          <w:rFonts w:ascii="Arial" w:hAnsi="Arial" w:cs="Arial"/>
          <w:sz w:val="22"/>
          <w:szCs w:val="24"/>
        </w:rPr>
        <w:t>,  Al revisar el cumplimiento de la política en el en el primer tr</w:t>
      </w:r>
      <w:r w:rsidR="002D0B4B" w:rsidRPr="005C7227">
        <w:rPr>
          <w:rFonts w:ascii="Arial" w:hAnsi="Arial" w:cs="Arial"/>
          <w:sz w:val="22"/>
          <w:szCs w:val="24"/>
        </w:rPr>
        <w:t>imestre de 2014</w:t>
      </w:r>
      <w:r w:rsidRPr="005C7227">
        <w:rPr>
          <w:rFonts w:ascii="Arial" w:hAnsi="Arial" w:cs="Arial"/>
          <w:sz w:val="22"/>
          <w:szCs w:val="24"/>
        </w:rPr>
        <w:t xml:space="preserve"> con el </w:t>
      </w:r>
      <w:r w:rsidR="002D0B4B" w:rsidRPr="005C7227">
        <w:rPr>
          <w:rFonts w:ascii="Arial" w:hAnsi="Arial" w:cs="Arial"/>
          <w:b/>
          <w:bCs/>
          <w:sz w:val="22"/>
          <w:szCs w:val="24"/>
        </w:rPr>
        <w:t>93</w:t>
      </w:r>
      <w:r w:rsidRPr="005C7227">
        <w:rPr>
          <w:rFonts w:ascii="Arial" w:hAnsi="Arial" w:cs="Arial"/>
          <w:b/>
          <w:bCs/>
          <w:sz w:val="22"/>
          <w:szCs w:val="24"/>
        </w:rPr>
        <w:t>%</w:t>
      </w:r>
      <w:r w:rsidRPr="005C7227">
        <w:rPr>
          <w:rFonts w:ascii="Arial" w:hAnsi="Arial" w:cs="Arial"/>
          <w:sz w:val="22"/>
          <w:szCs w:val="24"/>
        </w:rPr>
        <w:t xml:space="preserve"> , califica la gestión en general del idesan dentro del Rango </w:t>
      </w:r>
      <w:r w:rsidRPr="005C7227">
        <w:rPr>
          <w:rFonts w:ascii="Arial" w:hAnsi="Arial" w:cs="Arial"/>
          <w:b/>
          <w:bCs/>
          <w:color w:val="008000"/>
          <w:sz w:val="22"/>
          <w:szCs w:val="24"/>
        </w:rPr>
        <w:t>EXCELENTE,</w:t>
      </w:r>
      <w:r w:rsidRPr="005C7227">
        <w:rPr>
          <w:rFonts w:ascii="Arial" w:hAnsi="Arial" w:cs="Arial"/>
          <w:sz w:val="22"/>
          <w:szCs w:val="24"/>
        </w:rPr>
        <w:t xml:space="preserve"> de acuerdo a los criterios establecidos.</w:t>
      </w:r>
    </w:p>
    <w:p w:rsidR="004720DC" w:rsidRPr="005C7227" w:rsidRDefault="004720DC" w:rsidP="004720DC">
      <w:pPr>
        <w:jc w:val="both"/>
        <w:rPr>
          <w:rFonts w:ascii="Arial" w:hAnsi="Arial" w:cs="Arial"/>
          <w:sz w:val="22"/>
          <w:szCs w:val="24"/>
        </w:rPr>
      </w:pPr>
    </w:p>
    <w:p w:rsidR="004720DC" w:rsidRPr="005C7227" w:rsidRDefault="004720DC" w:rsidP="004720DC">
      <w:pPr>
        <w:jc w:val="both"/>
        <w:rPr>
          <w:rFonts w:ascii="Arial" w:hAnsi="Arial" w:cs="Arial"/>
          <w:sz w:val="22"/>
          <w:szCs w:val="24"/>
        </w:rPr>
      </w:pPr>
      <w:r w:rsidRPr="005C7227">
        <w:rPr>
          <w:rFonts w:ascii="Arial" w:hAnsi="Arial" w:cs="Arial"/>
          <w:sz w:val="22"/>
          <w:szCs w:val="24"/>
        </w:rPr>
        <w:t>De igual forma el Cuadro de Mando para la evaluación de la gestión del instituto nos permite evaluar la gestión de los diferentes procesos del Sistema Integrado de Gestión de la Calidad y el Control Interno del Idesan.</w:t>
      </w:r>
    </w:p>
    <w:p w:rsidR="004720DC" w:rsidRDefault="004720DC" w:rsidP="004720DC">
      <w:pPr>
        <w:jc w:val="center"/>
      </w:pPr>
    </w:p>
    <w:p w:rsidR="002D0B4B" w:rsidRDefault="002D0B4B" w:rsidP="004720DC">
      <w:pPr>
        <w:jc w:val="both"/>
      </w:pPr>
      <w:r>
        <w:rPr>
          <w:noProof/>
        </w:rPr>
        <w:drawing>
          <wp:inline distT="0" distB="0" distL="0" distR="0">
            <wp:extent cx="5396805" cy="2510287"/>
            <wp:effectExtent l="19050" t="0" r="13395" b="23363"/>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720DC" w:rsidRPr="005C7227" w:rsidRDefault="004720DC" w:rsidP="004720DC">
      <w:pPr>
        <w:jc w:val="both"/>
        <w:rPr>
          <w:rFonts w:ascii="Arial" w:hAnsi="Arial" w:cs="Arial"/>
          <w:sz w:val="22"/>
          <w:szCs w:val="22"/>
        </w:rPr>
      </w:pPr>
      <w:r w:rsidRPr="005C7227">
        <w:rPr>
          <w:rFonts w:ascii="Arial" w:hAnsi="Arial" w:cs="Arial"/>
          <w:sz w:val="22"/>
          <w:szCs w:val="22"/>
        </w:rPr>
        <w:t>En la Grafica y el cuadro anterior podemos notar el comportamiento de la gestión de los procesos del</w:t>
      </w:r>
      <w:r w:rsidRPr="00295A4B">
        <w:rPr>
          <w:rFonts w:ascii="Arial" w:hAnsi="Arial" w:cs="Arial"/>
          <w:sz w:val="18"/>
          <w:szCs w:val="18"/>
        </w:rPr>
        <w:t xml:space="preserve"> </w:t>
      </w:r>
      <w:r w:rsidRPr="005C7227">
        <w:rPr>
          <w:rFonts w:ascii="Arial" w:hAnsi="Arial" w:cs="Arial"/>
          <w:sz w:val="22"/>
          <w:szCs w:val="22"/>
        </w:rPr>
        <w:t>Sistema Integrado de Gestión de la Calidad y el Control Interno del Idesan lo q</w:t>
      </w:r>
      <w:r w:rsidR="002D0B4B" w:rsidRPr="005C7227">
        <w:rPr>
          <w:rFonts w:ascii="Arial" w:hAnsi="Arial" w:cs="Arial"/>
          <w:sz w:val="22"/>
          <w:szCs w:val="22"/>
        </w:rPr>
        <w:t>ue va hasta Diciembre 31 de 2014</w:t>
      </w:r>
    </w:p>
    <w:p w:rsidR="004720DC" w:rsidRPr="005C7227" w:rsidRDefault="004720DC" w:rsidP="004720DC">
      <w:pPr>
        <w:jc w:val="both"/>
        <w:rPr>
          <w:rFonts w:ascii="Arial" w:hAnsi="Arial" w:cs="Arial"/>
          <w:sz w:val="22"/>
          <w:szCs w:val="22"/>
        </w:rPr>
      </w:pPr>
    </w:p>
    <w:p w:rsidR="004720DC" w:rsidRPr="005C7227" w:rsidRDefault="004720DC" w:rsidP="004720DC">
      <w:pPr>
        <w:jc w:val="both"/>
        <w:rPr>
          <w:rFonts w:ascii="Arial" w:hAnsi="Arial" w:cs="Arial"/>
          <w:sz w:val="22"/>
          <w:szCs w:val="22"/>
        </w:rPr>
      </w:pPr>
      <w:r w:rsidRPr="005C7227">
        <w:rPr>
          <w:rFonts w:ascii="Arial" w:hAnsi="Arial" w:cs="Arial"/>
          <w:sz w:val="22"/>
          <w:szCs w:val="22"/>
        </w:rPr>
        <w:t>Al revisar la gestión de los procesos</w:t>
      </w:r>
      <w:r w:rsidR="002D0B4B" w:rsidRPr="005C7227">
        <w:rPr>
          <w:rFonts w:ascii="Arial" w:hAnsi="Arial" w:cs="Arial"/>
          <w:sz w:val="22"/>
          <w:szCs w:val="22"/>
        </w:rPr>
        <w:t xml:space="preserve"> en el primer semestre de 2014</w:t>
      </w:r>
      <w:r w:rsidRPr="005C7227">
        <w:rPr>
          <w:rFonts w:ascii="Arial" w:hAnsi="Arial" w:cs="Arial"/>
          <w:sz w:val="22"/>
          <w:szCs w:val="22"/>
        </w:rPr>
        <w:t xml:space="preserve"> estan  entre  76</w:t>
      </w:r>
      <w:r w:rsidRPr="005C7227">
        <w:rPr>
          <w:rFonts w:ascii="Arial" w:hAnsi="Arial" w:cs="Arial"/>
          <w:b/>
          <w:bCs/>
          <w:sz w:val="22"/>
          <w:szCs w:val="22"/>
        </w:rPr>
        <w:t>% y  100%</w:t>
      </w:r>
      <w:r w:rsidRPr="005C7227">
        <w:rPr>
          <w:rFonts w:ascii="Arial" w:hAnsi="Arial" w:cs="Arial"/>
          <w:sz w:val="22"/>
          <w:szCs w:val="22"/>
        </w:rPr>
        <w:t xml:space="preserve"> , califica la gestión en general del idesan dentro del Rango </w:t>
      </w:r>
      <w:r w:rsidRPr="005C7227">
        <w:rPr>
          <w:rFonts w:ascii="Arial" w:hAnsi="Arial" w:cs="Arial"/>
          <w:b/>
          <w:bCs/>
          <w:color w:val="008000"/>
          <w:sz w:val="22"/>
          <w:szCs w:val="22"/>
        </w:rPr>
        <w:t>EXCELENTE,</w:t>
      </w:r>
      <w:r w:rsidRPr="005C7227">
        <w:rPr>
          <w:rFonts w:ascii="Arial" w:hAnsi="Arial" w:cs="Arial"/>
          <w:sz w:val="22"/>
          <w:szCs w:val="22"/>
        </w:rPr>
        <w:t xml:space="preserve"> de acuerdo a los criterios establecidos. , siendo el más bajo G. de la Contabilidad en lo referente a indicadores de rentabilidad.</w:t>
      </w:r>
    </w:p>
    <w:p w:rsidR="004720DC" w:rsidRPr="005C7227" w:rsidRDefault="004720DC" w:rsidP="004720DC">
      <w:pPr>
        <w:jc w:val="both"/>
        <w:rPr>
          <w:rFonts w:ascii="Arial" w:hAnsi="Arial" w:cs="Arial"/>
          <w:sz w:val="22"/>
          <w:szCs w:val="22"/>
        </w:rPr>
      </w:pPr>
    </w:p>
    <w:p w:rsidR="004720DC" w:rsidRPr="005C7227" w:rsidRDefault="004720DC" w:rsidP="004720DC">
      <w:pPr>
        <w:pStyle w:val="Textoindependiente"/>
        <w:tabs>
          <w:tab w:val="clear" w:pos="360"/>
        </w:tabs>
        <w:rPr>
          <w:sz w:val="22"/>
          <w:szCs w:val="22"/>
        </w:rPr>
      </w:pPr>
      <w:r w:rsidRPr="005C7227">
        <w:rPr>
          <w:sz w:val="22"/>
          <w:szCs w:val="22"/>
        </w:rPr>
        <w:t>Revisados los temas anteriores y verificando que:</w:t>
      </w:r>
      <w:r w:rsidRPr="005C7227">
        <w:rPr>
          <w:b/>
          <w:i/>
          <w:sz w:val="22"/>
          <w:szCs w:val="22"/>
        </w:rPr>
        <w:t xml:space="preserve"> </w:t>
      </w:r>
    </w:p>
    <w:p w:rsidR="004720DC" w:rsidRPr="005C7227" w:rsidRDefault="004720DC" w:rsidP="004720DC">
      <w:pPr>
        <w:pStyle w:val="Textoindependiente"/>
        <w:numPr>
          <w:ilvl w:val="0"/>
          <w:numId w:val="8"/>
        </w:numPr>
        <w:tabs>
          <w:tab w:val="clear" w:pos="360"/>
        </w:tabs>
        <w:rPr>
          <w:b/>
          <w:sz w:val="22"/>
          <w:szCs w:val="22"/>
        </w:rPr>
      </w:pPr>
      <w:r w:rsidRPr="005C7227">
        <w:rPr>
          <w:sz w:val="22"/>
          <w:szCs w:val="22"/>
        </w:rPr>
        <w:t xml:space="preserve">El S.G.C. y C.I. del Idesan es eficaz en un:  </w:t>
      </w:r>
      <w:r w:rsidR="002D0B4B" w:rsidRPr="005C7227">
        <w:rPr>
          <w:b/>
          <w:sz w:val="22"/>
          <w:szCs w:val="22"/>
        </w:rPr>
        <w:t>80</w:t>
      </w:r>
      <w:r w:rsidRPr="005C7227">
        <w:rPr>
          <w:b/>
          <w:sz w:val="22"/>
          <w:szCs w:val="22"/>
        </w:rPr>
        <w:t>%</w:t>
      </w:r>
    </w:p>
    <w:p w:rsidR="004720DC" w:rsidRPr="005C7227" w:rsidRDefault="004720DC" w:rsidP="004720DC">
      <w:pPr>
        <w:pStyle w:val="Textoindependiente"/>
        <w:numPr>
          <w:ilvl w:val="0"/>
          <w:numId w:val="8"/>
        </w:numPr>
        <w:tabs>
          <w:tab w:val="clear" w:pos="360"/>
        </w:tabs>
        <w:rPr>
          <w:b/>
          <w:sz w:val="22"/>
          <w:szCs w:val="22"/>
        </w:rPr>
      </w:pPr>
      <w:r w:rsidRPr="005C7227">
        <w:rPr>
          <w:sz w:val="22"/>
          <w:szCs w:val="22"/>
        </w:rPr>
        <w:t xml:space="preserve">El S.G.C. y C.I. del Idesan es eficiente en un:  </w:t>
      </w:r>
      <w:r w:rsidR="002D0B4B" w:rsidRPr="005C7227">
        <w:rPr>
          <w:b/>
          <w:sz w:val="22"/>
          <w:szCs w:val="22"/>
        </w:rPr>
        <w:t>99</w:t>
      </w:r>
      <w:r w:rsidRPr="005C7227">
        <w:rPr>
          <w:b/>
          <w:sz w:val="22"/>
          <w:szCs w:val="22"/>
        </w:rPr>
        <w:t>%</w:t>
      </w:r>
    </w:p>
    <w:p w:rsidR="004720DC" w:rsidRPr="005C7227" w:rsidRDefault="004720DC" w:rsidP="004720DC">
      <w:pPr>
        <w:pStyle w:val="Textoindependiente"/>
        <w:numPr>
          <w:ilvl w:val="0"/>
          <w:numId w:val="8"/>
        </w:numPr>
        <w:tabs>
          <w:tab w:val="clear" w:pos="360"/>
        </w:tabs>
        <w:rPr>
          <w:b/>
          <w:sz w:val="22"/>
          <w:szCs w:val="22"/>
        </w:rPr>
      </w:pPr>
      <w:r w:rsidRPr="005C7227">
        <w:rPr>
          <w:sz w:val="22"/>
          <w:szCs w:val="22"/>
        </w:rPr>
        <w:t xml:space="preserve">El S.G.C. y C.I. del Idesan es efectivo en un:  </w:t>
      </w:r>
      <w:r w:rsidR="002D0B4B" w:rsidRPr="005C7227">
        <w:rPr>
          <w:b/>
          <w:sz w:val="22"/>
          <w:szCs w:val="22"/>
        </w:rPr>
        <w:t>100</w:t>
      </w:r>
      <w:r w:rsidRPr="005C7227">
        <w:rPr>
          <w:b/>
          <w:sz w:val="22"/>
          <w:szCs w:val="22"/>
        </w:rPr>
        <w:t>%</w:t>
      </w:r>
    </w:p>
    <w:p w:rsidR="004720DC" w:rsidRPr="005C7227" w:rsidRDefault="004720DC" w:rsidP="004720DC">
      <w:pPr>
        <w:pStyle w:val="Textoindependiente"/>
        <w:numPr>
          <w:ilvl w:val="0"/>
          <w:numId w:val="8"/>
        </w:numPr>
        <w:tabs>
          <w:tab w:val="clear" w:pos="360"/>
        </w:tabs>
        <w:rPr>
          <w:sz w:val="22"/>
          <w:szCs w:val="22"/>
        </w:rPr>
      </w:pPr>
      <w:r w:rsidRPr="005C7227">
        <w:rPr>
          <w:sz w:val="22"/>
          <w:szCs w:val="22"/>
        </w:rPr>
        <w:t>Que revisados la Política y objetivos de calidad son adecuados a la entidad y que están siendo cumplidos de acuerdo a la medición de sus correspondientes indicadores de gestión en cada uno de los procesos.</w:t>
      </w:r>
    </w:p>
    <w:p w:rsidR="004720DC" w:rsidRPr="005C7227" w:rsidRDefault="004720DC" w:rsidP="004720DC">
      <w:pPr>
        <w:pStyle w:val="Textoindependiente"/>
        <w:numPr>
          <w:ilvl w:val="0"/>
          <w:numId w:val="8"/>
        </w:numPr>
        <w:tabs>
          <w:tab w:val="clear" w:pos="360"/>
        </w:tabs>
        <w:rPr>
          <w:sz w:val="22"/>
          <w:szCs w:val="22"/>
        </w:rPr>
      </w:pPr>
      <w:r w:rsidRPr="005C7227">
        <w:rPr>
          <w:sz w:val="22"/>
          <w:szCs w:val="22"/>
        </w:rPr>
        <w:t>Que el S.G.C. y C.I. es conveniente y adecuado para el Instituto, de acuerdo a revisiones y Auditorías Internas realizadas.</w:t>
      </w:r>
    </w:p>
    <w:p w:rsidR="004720DC" w:rsidRPr="005C7227" w:rsidRDefault="004720DC" w:rsidP="004720DC">
      <w:pPr>
        <w:pStyle w:val="Textoindependiente"/>
        <w:tabs>
          <w:tab w:val="clear" w:pos="360"/>
        </w:tabs>
        <w:rPr>
          <w:sz w:val="22"/>
          <w:szCs w:val="22"/>
        </w:rPr>
      </w:pPr>
    </w:p>
    <w:p w:rsidR="004720DC" w:rsidRPr="005C7227" w:rsidRDefault="004720DC" w:rsidP="004720DC">
      <w:pPr>
        <w:pStyle w:val="Textoindependiente"/>
        <w:tabs>
          <w:tab w:val="clear" w:pos="360"/>
        </w:tabs>
        <w:rPr>
          <w:sz w:val="22"/>
          <w:szCs w:val="22"/>
        </w:rPr>
      </w:pPr>
      <w:r w:rsidRPr="005C7227">
        <w:rPr>
          <w:sz w:val="22"/>
          <w:szCs w:val="22"/>
        </w:rPr>
        <w:t xml:space="preserve">El equipo de la Alta dirección del Instituto Financiero para el Desarrollo de Santander concluye que: </w:t>
      </w:r>
    </w:p>
    <w:p w:rsidR="004720DC" w:rsidRPr="005C7227" w:rsidRDefault="004720DC" w:rsidP="004720DC">
      <w:pPr>
        <w:jc w:val="both"/>
        <w:rPr>
          <w:rFonts w:ascii="Arial" w:hAnsi="Arial" w:cs="Arial"/>
          <w:sz w:val="22"/>
          <w:szCs w:val="22"/>
        </w:rPr>
      </w:pPr>
    </w:p>
    <w:p w:rsidR="00D80C6F" w:rsidRPr="005C7227" w:rsidRDefault="004720DC" w:rsidP="002D0B4B">
      <w:pPr>
        <w:pStyle w:val="Textoindependiente"/>
        <w:tabs>
          <w:tab w:val="clear" w:pos="360"/>
        </w:tabs>
        <w:rPr>
          <w:sz w:val="22"/>
          <w:szCs w:val="22"/>
        </w:rPr>
      </w:pPr>
      <w:r w:rsidRPr="005C7227">
        <w:rPr>
          <w:b/>
          <w:sz w:val="22"/>
          <w:szCs w:val="22"/>
        </w:rPr>
        <w:t>“El Sistema Integrado de Gestión de la Calidad y el Control Interno del Idesan tiene la capacidad de cumplir con los requisitos de la Normatividad vigente y con los requisitos de sus clientes, de una forma  eficaz,  eficiente  y efectiva,  dentro del  marco de  su  misión, contribuyendo  al logro de  los  fines esenciales del Estado, por lo cual es conveniente y adecuado para el Instituto, razón por la cual debe ser mantenido y mejorado continuamente de acuerdo con las oportunidades de mejora identificadas en esta revisión</w:t>
      </w:r>
      <w:r w:rsidRPr="005C7227">
        <w:rPr>
          <w:sz w:val="22"/>
          <w:szCs w:val="22"/>
        </w:rPr>
        <w:t>.”</w:t>
      </w:r>
    </w:p>
    <w:p w:rsidR="00D80C6F" w:rsidRPr="005C7227" w:rsidRDefault="00D80C6F" w:rsidP="002B7266">
      <w:pPr>
        <w:jc w:val="both"/>
        <w:rPr>
          <w:rFonts w:ascii="Arial" w:hAnsi="Arial" w:cs="Arial"/>
          <w:b/>
          <w:sz w:val="22"/>
          <w:szCs w:val="22"/>
        </w:rPr>
      </w:pPr>
    </w:p>
    <w:p w:rsidR="002B7266" w:rsidRPr="005C7227" w:rsidRDefault="002B7266" w:rsidP="002147DB">
      <w:pPr>
        <w:pStyle w:val="Prrafodelista"/>
        <w:numPr>
          <w:ilvl w:val="0"/>
          <w:numId w:val="4"/>
        </w:numPr>
        <w:jc w:val="both"/>
        <w:rPr>
          <w:rFonts w:ascii="Arial" w:hAnsi="Arial" w:cs="Arial"/>
          <w:b/>
          <w:color w:val="76923C" w:themeColor="accent3" w:themeShade="BF"/>
          <w:sz w:val="22"/>
          <w:szCs w:val="22"/>
        </w:rPr>
      </w:pPr>
      <w:r w:rsidRPr="005C7227">
        <w:rPr>
          <w:rFonts w:ascii="Arial" w:hAnsi="Arial" w:cs="Arial"/>
          <w:b/>
          <w:color w:val="76923C" w:themeColor="accent3" w:themeShade="BF"/>
          <w:sz w:val="22"/>
          <w:szCs w:val="22"/>
        </w:rPr>
        <w:t>PROPOSICIONES Y VARIOS</w:t>
      </w:r>
    </w:p>
    <w:p w:rsidR="002B7266" w:rsidRPr="005C7227" w:rsidRDefault="002B7266" w:rsidP="002B7266">
      <w:pPr>
        <w:jc w:val="both"/>
        <w:rPr>
          <w:rFonts w:ascii="Arial" w:hAnsi="Arial" w:cs="Arial"/>
          <w:sz w:val="22"/>
          <w:szCs w:val="22"/>
        </w:rPr>
      </w:pPr>
    </w:p>
    <w:p w:rsidR="002B7266" w:rsidRPr="005C7227" w:rsidRDefault="002B7266" w:rsidP="002B7266">
      <w:pPr>
        <w:pStyle w:val="Prrafodelista"/>
        <w:numPr>
          <w:ilvl w:val="0"/>
          <w:numId w:val="3"/>
        </w:numPr>
        <w:jc w:val="both"/>
        <w:rPr>
          <w:rFonts w:ascii="Arial" w:hAnsi="Arial" w:cs="Arial"/>
          <w:sz w:val="22"/>
          <w:szCs w:val="22"/>
        </w:rPr>
      </w:pPr>
      <w:r w:rsidRPr="005C7227">
        <w:rPr>
          <w:rFonts w:ascii="Arial" w:hAnsi="Arial" w:cs="Arial"/>
          <w:sz w:val="22"/>
          <w:szCs w:val="22"/>
        </w:rPr>
        <w:t>La Dra. Martha Montero informa que los funcionarios del Instituto no cuentan con una escarapela de identificación, por lo anterior, la Dra. Martha presenta a la gerencia un diseño realizado de escarapela para la toma de decisión.</w:t>
      </w:r>
    </w:p>
    <w:p w:rsidR="002B7266" w:rsidRPr="005C7227" w:rsidRDefault="002B7266" w:rsidP="002B7266">
      <w:pPr>
        <w:pStyle w:val="Prrafodelista"/>
        <w:numPr>
          <w:ilvl w:val="0"/>
          <w:numId w:val="3"/>
        </w:numPr>
        <w:jc w:val="both"/>
        <w:rPr>
          <w:rFonts w:ascii="Arial" w:hAnsi="Arial" w:cs="Arial"/>
          <w:sz w:val="22"/>
          <w:szCs w:val="22"/>
        </w:rPr>
      </w:pPr>
      <w:r w:rsidRPr="005C7227">
        <w:rPr>
          <w:rFonts w:ascii="Arial" w:hAnsi="Arial" w:cs="Arial"/>
          <w:sz w:val="22"/>
          <w:szCs w:val="22"/>
        </w:rPr>
        <w:t>Se hace entrega a los funcionarios del Instituto el Libro Dinámica Económica Financiera y Administrativa ( se hace entrega de 13 libros).</w:t>
      </w:r>
    </w:p>
    <w:p w:rsidR="002B7266" w:rsidRPr="005C7227" w:rsidRDefault="002B7266" w:rsidP="002B7266">
      <w:pPr>
        <w:pStyle w:val="Prrafodelista"/>
        <w:numPr>
          <w:ilvl w:val="0"/>
          <w:numId w:val="3"/>
        </w:numPr>
        <w:jc w:val="both"/>
        <w:rPr>
          <w:rFonts w:ascii="Arial" w:hAnsi="Arial" w:cs="Arial"/>
          <w:sz w:val="22"/>
          <w:szCs w:val="22"/>
        </w:rPr>
      </w:pPr>
      <w:r w:rsidRPr="005C7227">
        <w:rPr>
          <w:rFonts w:ascii="Arial" w:hAnsi="Arial" w:cs="Arial"/>
          <w:sz w:val="22"/>
          <w:szCs w:val="22"/>
        </w:rPr>
        <w:t>El Informe de empalme sea coordinado por el Dr. Ernesto Villalba para su entrega.</w:t>
      </w:r>
    </w:p>
    <w:p w:rsidR="002B7266" w:rsidRPr="005C7227" w:rsidRDefault="002B7266" w:rsidP="002B7266">
      <w:pPr>
        <w:pStyle w:val="Prrafodelista"/>
        <w:numPr>
          <w:ilvl w:val="0"/>
          <w:numId w:val="3"/>
        </w:numPr>
        <w:jc w:val="both"/>
        <w:rPr>
          <w:rFonts w:ascii="Arial" w:hAnsi="Arial" w:cs="Arial"/>
          <w:sz w:val="22"/>
          <w:szCs w:val="22"/>
        </w:rPr>
      </w:pPr>
      <w:r w:rsidRPr="005C7227">
        <w:rPr>
          <w:rFonts w:ascii="Arial" w:hAnsi="Arial" w:cs="Arial"/>
          <w:sz w:val="22"/>
          <w:szCs w:val="22"/>
        </w:rPr>
        <w:t>Dr. Vicente solicita los estados financieros a diciembre 30 de 2014, para citar a Junta Directiva y tener en cuenta en el presupuesto el pago de impuestos y cableado estructurado.</w:t>
      </w:r>
    </w:p>
    <w:p w:rsidR="002B7266" w:rsidRPr="005C7227" w:rsidRDefault="002B7266" w:rsidP="002B7266">
      <w:pPr>
        <w:pStyle w:val="Prrafodelista"/>
        <w:numPr>
          <w:ilvl w:val="0"/>
          <w:numId w:val="3"/>
        </w:numPr>
        <w:jc w:val="both"/>
        <w:rPr>
          <w:rFonts w:ascii="Arial" w:hAnsi="Arial" w:cs="Arial"/>
          <w:sz w:val="22"/>
          <w:szCs w:val="22"/>
        </w:rPr>
      </w:pPr>
      <w:r w:rsidRPr="005C7227">
        <w:rPr>
          <w:rFonts w:ascii="Arial" w:hAnsi="Arial" w:cs="Arial"/>
          <w:sz w:val="22"/>
          <w:szCs w:val="22"/>
        </w:rPr>
        <w:t>El Dr. Vicente le solicita a la Dra. Cecilia que proceda a la compra del aire acondicionado para la sala de juntas del Instituto y que el que está actualmente se debe pasar a la oficina financiera - cartera del segundo piso.</w:t>
      </w:r>
    </w:p>
    <w:p w:rsidR="002B7266" w:rsidRPr="005C7227" w:rsidRDefault="002B7266" w:rsidP="002B7266">
      <w:pPr>
        <w:pStyle w:val="Prrafodelista"/>
        <w:numPr>
          <w:ilvl w:val="0"/>
          <w:numId w:val="3"/>
        </w:numPr>
        <w:jc w:val="both"/>
        <w:rPr>
          <w:rFonts w:ascii="Arial" w:hAnsi="Arial" w:cs="Arial"/>
          <w:sz w:val="22"/>
          <w:szCs w:val="22"/>
        </w:rPr>
      </w:pPr>
      <w:r w:rsidRPr="005C7227">
        <w:rPr>
          <w:rFonts w:ascii="Arial" w:hAnsi="Arial" w:cs="Arial"/>
          <w:sz w:val="22"/>
          <w:szCs w:val="22"/>
        </w:rPr>
        <w:t>La Dra. Martha Montero solicita el cambio de tapete del Centro de gestión municipal.</w:t>
      </w:r>
    </w:p>
    <w:p w:rsidR="002B7266" w:rsidRPr="005C7227" w:rsidRDefault="002B7266" w:rsidP="002B7266">
      <w:pPr>
        <w:pStyle w:val="Prrafodelista"/>
        <w:numPr>
          <w:ilvl w:val="0"/>
          <w:numId w:val="3"/>
        </w:numPr>
        <w:jc w:val="both"/>
        <w:rPr>
          <w:rFonts w:ascii="Arial" w:hAnsi="Arial" w:cs="Arial"/>
          <w:sz w:val="22"/>
          <w:szCs w:val="22"/>
        </w:rPr>
      </w:pPr>
      <w:r w:rsidRPr="005C7227">
        <w:rPr>
          <w:rFonts w:ascii="Arial" w:hAnsi="Arial" w:cs="Arial"/>
          <w:sz w:val="22"/>
          <w:szCs w:val="22"/>
        </w:rPr>
        <w:t>El Dr. Vicente le solita a la Dra. Cecilia el PAA vigencia 2015 para su revisión.</w:t>
      </w:r>
    </w:p>
    <w:p w:rsidR="002B7266" w:rsidRPr="005C7227" w:rsidRDefault="002B7266" w:rsidP="002B7266">
      <w:pPr>
        <w:pStyle w:val="Prrafodelista"/>
        <w:numPr>
          <w:ilvl w:val="0"/>
          <w:numId w:val="3"/>
        </w:numPr>
        <w:jc w:val="both"/>
        <w:rPr>
          <w:rFonts w:ascii="Arial" w:hAnsi="Arial" w:cs="Arial"/>
          <w:sz w:val="22"/>
          <w:szCs w:val="22"/>
        </w:rPr>
      </w:pPr>
      <w:r w:rsidRPr="005C7227">
        <w:rPr>
          <w:rFonts w:ascii="Arial" w:hAnsi="Arial" w:cs="Arial"/>
          <w:sz w:val="22"/>
          <w:szCs w:val="22"/>
        </w:rPr>
        <w:t>El Dr. Vicente manifiesta que el edificio requiere de un mantenimiento completo en cuanto a arreglos de arboles a la entrada, lavar fachada y pintura.</w:t>
      </w:r>
    </w:p>
    <w:p w:rsidR="002B7266" w:rsidRPr="005C7227" w:rsidRDefault="002B7266" w:rsidP="002B7266">
      <w:pPr>
        <w:pStyle w:val="Prrafodelista"/>
        <w:jc w:val="both"/>
        <w:rPr>
          <w:rFonts w:ascii="Arial" w:hAnsi="Arial" w:cs="Arial"/>
          <w:sz w:val="22"/>
          <w:szCs w:val="22"/>
        </w:rPr>
      </w:pPr>
    </w:p>
    <w:p w:rsidR="002B7266" w:rsidRPr="005C7227" w:rsidRDefault="002B7266" w:rsidP="002B7266">
      <w:pPr>
        <w:pStyle w:val="Prrafodelista"/>
        <w:jc w:val="both"/>
        <w:rPr>
          <w:rFonts w:ascii="Arial" w:hAnsi="Arial" w:cs="Arial"/>
          <w:sz w:val="22"/>
          <w:szCs w:val="22"/>
        </w:rPr>
      </w:pPr>
    </w:p>
    <w:p w:rsidR="002B7266" w:rsidRPr="005C7227" w:rsidRDefault="002B7266" w:rsidP="002B7266">
      <w:pPr>
        <w:spacing w:after="200" w:line="276" w:lineRule="auto"/>
        <w:jc w:val="both"/>
        <w:rPr>
          <w:rFonts w:ascii="Arial" w:hAnsi="Arial" w:cs="Arial"/>
          <w:sz w:val="22"/>
          <w:szCs w:val="22"/>
        </w:rPr>
      </w:pPr>
      <w:r w:rsidRPr="005C7227">
        <w:rPr>
          <w:rFonts w:ascii="Arial" w:hAnsi="Arial" w:cs="Arial"/>
          <w:sz w:val="22"/>
          <w:szCs w:val="22"/>
        </w:rPr>
        <w:t>Se da por terminada la reunión de Comité de Gerencia el 02 de febrero de 2015 a las 1:30 p.m.</w:t>
      </w:r>
    </w:p>
    <w:p w:rsidR="002B7266" w:rsidRPr="005C7227" w:rsidRDefault="002B7266" w:rsidP="002B7266">
      <w:pPr>
        <w:jc w:val="both"/>
        <w:rPr>
          <w:rFonts w:ascii="Arial" w:hAnsi="Arial" w:cs="Arial"/>
          <w:b/>
          <w:sz w:val="22"/>
          <w:szCs w:val="22"/>
        </w:rPr>
      </w:pPr>
    </w:p>
    <w:p w:rsidR="002B7266" w:rsidRPr="005C7227" w:rsidRDefault="002B7266" w:rsidP="002B7266">
      <w:pPr>
        <w:jc w:val="both"/>
        <w:rPr>
          <w:rFonts w:ascii="Arial" w:hAnsi="Arial" w:cs="Arial"/>
          <w:b/>
          <w:sz w:val="22"/>
          <w:szCs w:val="22"/>
        </w:rPr>
      </w:pPr>
    </w:p>
    <w:p w:rsidR="002B7266" w:rsidRPr="005C7227" w:rsidRDefault="002B7266" w:rsidP="002B7266">
      <w:pPr>
        <w:jc w:val="both"/>
        <w:rPr>
          <w:rFonts w:ascii="Arial" w:hAnsi="Arial" w:cs="Arial"/>
          <w:b/>
          <w:sz w:val="22"/>
          <w:szCs w:val="22"/>
        </w:rPr>
      </w:pPr>
    </w:p>
    <w:p w:rsidR="002B7266" w:rsidRPr="005C7227" w:rsidRDefault="002B7266" w:rsidP="002B7266">
      <w:pPr>
        <w:jc w:val="both"/>
        <w:rPr>
          <w:rFonts w:ascii="Arial" w:hAnsi="Arial" w:cs="Arial"/>
          <w:b/>
          <w:sz w:val="22"/>
          <w:szCs w:val="22"/>
        </w:rPr>
      </w:pPr>
      <w:r w:rsidRPr="005C7227">
        <w:rPr>
          <w:rFonts w:ascii="Arial" w:hAnsi="Arial" w:cs="Arial"/>
          <w:b/>
          <w:sz w:val="22"/>
          <w:szCs w:val="22"/>
        </w:rPr>
        <w:t>VICENTE RODRÍGUEZ FERREIRA</w:t>
      </w:r>
      <w:r w:rsidRPr="005C7227">
        <w:rPr>
          <w:rFonts w:ascii="Arial" w:hAnsi="Arial" w:cs="Arial"/>
          <w:b/>
          <w:sz w:val="22"/>
          <w:szCs w:val="22"/>
        </w:rPr>
        <w:tab/>
        <w:t xml:space="preserve"> </w:t>
      </w:r>
      <w:r w:rsidRPr="005C7227">
        <w:rPr>
          <w:rFonts w:ascii="Arial" w:hAnsi="Arial" w:cs="Arial"/>
          <w:b/>
          <w:sz w:val="22"/>
          <w:szCs w:val="22"/>
        </w:rPr>
        <w:tab/>
        <w:t xml:space="preserve">    CLAUDIA E. HERNÁNDEZ B.</w:t>
      </w:r>
    </w:p>
    <w:p w:rsidR="004B330F" w:rsidRPr="005C7227" w:rsidRDefault="002B7266" w:rsidP="002D0B4B">
      <w:pPr>
        <w:jc w:val="both"/>
        <w:rPr>
          <w:sz w:val="22"/>
          <w:szCs w:val="22"/>
        </w:rPr>
      </w:pPr>
      <w:r w:rsidRPr="005C7227">
        <w:rPr>
          <w:rFonts w:ascii="Arial" w:hAnsi="Arial" w:cs="Arial"/>
          <w:sz w:val="22"/>
          <w:szCs w:val="22"/>
        </w:rPr>
        <w:t>Gerente IDESAN</w:t>
      </w:r>
      <w:r w:rsidRPr="005C7227">
        <w:rPr>
          <w:rFonts w:ascii="Arial" w:hAnsi="Arial" w:cs="Arial"/>
          <w:sz w:val="22"/>
          <w:szCs w:val="22"/>
        </w:rPr>
        <w:tab/>
      </w:r>
      <w:r w:rsidRPr="005C7227">
        <w:rPr>
          <w:rFonts w:ascii="Arial" w:hAnsi="Arial" w:cs="Arial"/>
          <w:sz w:val="22"/>
          <w:szCs w:val="22"/>
        </w:rPr>
        <w:tab/>
      </w:r>
      <w:r w:rsidRPr="005C7227">
        <w:rPr>
          <w:rFonts w:ascii="Arial" w:hAnsi="Arial" w:cs="Arial"/>
          <w:sz w:val="22"/>
          <w:szCs w:val="22"/>
        </w:rPr>
        <w:tab/>
      </w:r>
      <w:r w:rsidRPr="005C7227">
        <w:rPr>
          <w:rFonts w:ascii="Arial" w:hAnsi="Arial" w:cs="Arial"/>
          <w:sz w:val="22"/>
          <w:szCs w:val="22"/>
        </w:rPr>
        <w:tab/>
      </w:r>
      <w:r w:rsidRPr="005C7227">
        <w:rPr>
          <w:rFonts w:ascii="Arial" w:hAnsi="Arial" w:cs="Arial"/>
          <w:sz w:val="22"/>
          <w:szCs w:val="22"/>
        </w:rPr>
        <w:tab/>
        <w:t xml:space="preserve"> Secretaria Ad-Hoc.</w:t>
      </w:r>
      <w:bookmarkStart w:id="0" w:name="_GoBack"/>
      <w:bookmarkEnd w:id="0"/>
      <w:r w:rsidR="002D0B4B" w:rsidRPr="005C7227">
        <w:rPr>
          <w:sz w:val="22"/>
          <w:szCs w:val="22"/>
        </w:rPr>
        <w:t xml:space="preserve"> </w:t>
      </w:r>
    </w:p>
    <w:sectPr w:rsidR="004B330F" w:rsidRPr="005C7227" w:rsidSect="004B330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clip_image001"/>
      </v:shape>
    </w:pict>
  </w:numPicBullet>
  <w:abstractNum w:abstractNumId="0">
    <w:nsid w:val="03E35952"/>
    <w:multiLevelType w:val="hybridMultilevel"/>
    <w:tmpl w:val="1ED40B86"/>
    <w:lvl w:ilvl="0" w:tplc="6E46CCB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E72694"/>
    <w:multiLevelType w:val="hybridMultilevel"/>
    <w:tmpl w:val="EA045634"/>
    <w:lvl w:ilvl="0" w:tplc="A50EBE34">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372609"/>
    <w:multiLevelType w:val="hybridMultilevel"/>
    <w:tmpl w:val="28AA57D6"/>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5238E1"/>
    <w:multiLevelType w:val="hybridMultilevel"/>
    <w:tmpl w:val="F2C40BF0"/>
    <w:lvl w:ilvl="0" w:tplc="CD7CAE58">
      <w:start w:val="4"/>
      <w:numFmt w:val="lowerLetter"/>
      <w:lvlText w:val="%1)"/>
      <w:lvlJc w:val="left"/>
      <w:pPr>
        <w:tabs>
          <w:tab w:val="num" w:pos="1667"/>
        </w:tabs>
        <w:ind w:left="1667" w:hanging="840"/>
      </w:pPr>
      <w:rPr>
        <w:rFonts w:hint="default"/>
        <w:b w:val="0"/>
        <w:sz w:val="18"/>
      </w:rPr>
    </w:lvl>
    <w:lvl w:ilvl="1" w:tplc="0C0A0019" w:tentative="1">
      <w:start w:val="1"/>
      <w:numFmt w:val="lowerLetter"/>
      <w:lvlText w:val="%2."/>
      <w:lvlJc w:val="left"/>
      <w:pPr>
        <w:tabs>
          <w:tab w:val="num" w:pos="1907"/>
        </w:tabs>
        <w:ind w:left="1907" w:hanging="360"/>
      </w:pPr>
    </w:lvl>
    <w:lvl w:ilvl="2" w:tplc="0C0A001B" w:tentative="1">
      <w:start w:val="1"/>
      <w:numFmt w:val="lowerRoman"/>
      <w:lvlText w:val="%3."/>
      <w:lvlJc w:val="right"/>
      <w:pPr>
        <w:tabs>
          <w:tab w:val="num" w:pos="2627"/>
        </w:tabs>
        <w:ind w:left="2627" w:hanging="180"/>
      </w:pPr>
    </w:lvl>
    <w:lvl w:ilvl="3" w:tplc="0C0A000F" w:tentative="1">
      <w:start w:val="1"/>
      <w:numFmt w:val="decimal"/>
      <w:lvlText w:val="%4."/>
      <w:lvlJc w:val="left"/>
      <w:pPr>
        <w:tabs>
          <w:tab w:val="num" w:pos="3347"/>
        </w:tabs>
        <w:ind w:left="3347" w:hanging="360"/>
      </w:pPr>
    </w:lvl>
    <w:lvl w:ilvl="4" w:tplc="0C0A0019" w:tentative="1">
      <w:start w:val="1"/>
      <w:numFmt w:val="lowerLetter"/>
      <w:lvlText w:val="%5."/>
      <w:lvlJc w:val="left"/>
      <w:pPr>
        <w:tabs>
          <w:tab w:val="num" w:pos="4067"/>
        </w:tabs>
        <w:ind w:left="4067" w:hanging="360"/>
      </w:pPr>
    </w:lvl>
    <w:lvl w:ilvl="5" w:tplc="0C0A001B" w:tentative="1">
      <w:start w:val="1"/>
      <w:numFmt w:val="lowerRoman"/>
      <w:lvlText w:val="%6."/>
      <w:lvlJc w:val="right"/>
      <w:pPr>
        <w:tabs>
          <w:tab w:val="num" w:pos="4787"/>
        </w:tabs>
        <w:ind w:left="4787" w:hanging="180"/>
      </w:pPr>
    </w:lvl>
    <w:lvl w:ilvl="6" w:tplc="0C0A000F" w:tentative="1">
      <w:start w:val="1"/>
      <w:numFmt w:val="decimal"/>
      <w:lvlText w:val="%7."/>
      <w:lvlJc w:val="left"/>
      <w:pPr>
        <w:tabs>
          <w:tab w:val="num" w:pos="5507"/>
        </w:tabs>
        <w:ind w:left="5507" w:hanging="360"/>
      </w:pPr>
    </w:lvl>
    <w:lvl w:ilvl="7" w:tplc="0C0A0019" w:tentative="1">
      <w:start w:val="1"/>
      <w:numFmt w:val="lowerLetter"/>
      <w:lvlText w:val="%8."/>
      <w:lvlJc w:val="left"/>
      <w:pPr>
        <w:tabs>
          <w:tab w:val="num" w:pos="6227"/>
        </w:tabs>
        <w:ind w:left="6227" w:hanging="360"/>
      </w:pPr>
    </w:lvl>
    <w:lvl w:ilvl="8" w:tplc="0C0A001B" w:tentative="1">
      <w:start w:val="1"/>
      <w:numFmt w:val="lowerRoman"/>
      <w:lvlText w:val="%9."/>
      <w:lvlJc w:val="right"/>
      <w:pPr>
        <w:tabs>
          <w:tab w:val="num" w:pos="6947"/>
        </w:tabs>
        <w:ind w:left="6947" w:hanging="180"/>
      </w:pPr>
    </w:lvl>
  </w:abstractNum>
  <w:abstractNum w:abstractNumId="4">
    <w:nsid w:val="250D1771"/>
    <w:multiLevelType w:val="hybridMultilevel"/>
    <w:tmpl w:val="40FEA428"/>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62B12CB"/>
    <w:multiLevelType w:val="hybridMultilevel"/>
    <w:tmpl w:val="47AAB34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46FD17CC"/>
    <w:multiLevelType w:val="hybridMultilevel"/>
    <w:tmpl w:val="E230E958"/>
    <w:lvl w:ilvl="0" w:tplc="B91AB32A">
      <w:numFmt w:val="bullet"/>
      <w:lvlText w:val="-"/>
      <w:lvlJc w:val="left"/>
      <w:pPr>
        <w:tabs>
          <w:tab w:val="num" w:pos="1065"/>
        </w:tabs>
        <w:ind w:left="1065" w:hanging="705"/>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5CC70D36"/>
    <w:multiLevelType w:val="hybridMultilevel"/>
    <w:tmpl w:val="FDB6F45C"/>
    <w:lvl w:ilvl="0" w:tplc="0C0A0007">
      <w:start w:val="1"/>
      <w:numFmt w:val="bullet"/>
      <w:lvlText w:val=""/>
      <w:lvlPicBulletId w:val="0"/>
      <w:lvlJc w:val="left"/>
      <w:pPr>
        <w:ind w:left="1287"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6A800989"/>
    <w:multiLevelType w:val="hybridMultilevel"/>
    <w:tmpl w:val="88326902"/>
    <w:lvl w:ilvl="0" w:tplc="0C0A000F">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2A04353"/>
    <w:multiLevelType w:val="hybridMultilevel"/>
    <w:tmpl w:val="5298F75C"/>
    <w:lvl w:ilvl="0" w:tplc="893A203E">
      <w:start w:val="1"/>
      <w:numFmt w:val="decimal"/>
      <w:lvlText w:val="%1."/>
      <w:lvlJc w:val="left"/>
      <w:pPr>
        <w:ind w:left="1636" w:hanging="360"/>
      </w:pPr>
      <w:rPr>
        <w:rFonts w:hint="default"/>
      </w:rPr>
    </w:lvl>
    <w:lvl w:ilvl="1" w:tplc="0C0A0019" w:tentative="1">
      <w:start w:val="1"/>
      <w:numFmt w:val="lowerLetter"/>
      <w:lvlText w:val="%2."/>
      <w:lvlJc w:val="left"/>
      <w:pPr>
        <w:ind w:left="3000" w:hanging="360"/>
      </w:pPr>
    </w:lvl>
    <w:lvl w:ilvl="2" w:tplc="0C0A001B" w:tentative="1">
      <w:start w:val="1"/>
      <w:numFmt w:val="lowerRoman"/>
      <w:lvlText w:val="%3."/>
      <w:lvlJc w:val="right"/>
      <w:pPr>
        <w:ind w:left="3720" w:hanging="180"/>
      </w:pPr>
    </w:lvl>
    <w:lvl w:ilvl="3" w:tplc="0C0A000F" w:tentative="1">
      <w:start w:val="1"/>
      <w:numFmt w:val="decimal"/>
      <w:lvlText w:val="%4."/>
      <w:lvlJc w:val="left"/>
      <w:pPr>
        <w:ind w:left="4440" w:hanging="360"/>
      </w:pPr>
    </w:lvl>
    <w:lvl w:ilvl="4" w:tplc="0C0A0019" w:tentative="1">
      <w:start w:val="1"/>
      <w:numFmt w:val="lowerLetter"/>
      <w:lvlText w:val="%5."/>
      <w:lvlJc w:val="left"/>
      <w:pPr>
        <w:ind w:left="5160" w:hanging="360"/>
      </w:pPr>
    </w:lvl>
    <w:lvl w:ilvl="5" w:tplc="0C0A001B" w:tentative="1">
      <w:start w:val="1"/>
      <w:numFmt w:val="lowerRoman"/>
      <w:lvlText w:val="%6."/>
      <w:lvlJc w:val="right"/>
      <w:pPr>
        <w:ind w:left="5880" w:hanging="180"/>
      </w:pPr>
    </w:lvl>
    <w:lvl w:ilvl="6" w:tplc="0C0A000F" w:tentative="1">
      <w:start w:val="1"/>
      <w:numFmt w:val="decimal"/>
      <w:lvlText w:val="%7."/>
      <w:lvlJc w:val="left"/>
      <w:pPr>
        <w:ind w:left="6600" w:hanging="360"/>
      </w:pPr>
    </w:lvl>
    <w:lvl w:ilvl="7" w:tplc="0C0A0019" w:tentative="1">
      <w:start w:val="1"/>
      <w:numFmt w:val="lowerLetter"/>
      <w:lvlText w:val="%8."/>
      <w:lvlJc w:val="left"/>
      <w:pPr>
        <w:ind w:left="7320" w:hanging="360"/>
      </w:pPr>
    </w:lvl>
    <w:lvl w:ilvl="8" w:tplc="0C0A001B" w:tentative="1">
      <w:start w:val="1"/>
      <w:numFmt w:val="lowerRoman"/>
      <w:lvlText w:val="%9."/>
      <w:lvlJc w:val="right"/>
      <w:pPr>
        <w:ind w:left="8040" w:hanging="180"/>
      </w:pPr>
    </w:lvl>
  </w:abstractNum>
  <w:num w:numId="1">
    <w:abstractNumId w:val="9"/>
  </w:num>
  <w:num w:numId="2">
    <w:abstractNumId w:val="4"/>
  </w:num>
  <w:num w:numId="3">
    <w:abstractNumId w:val="0"/>
  </w:num>
  <w:num w:numId="4">
    <w:abstractNumId w:val="8"/>
  </w:num>
  <w:num w:numId="5">
    <w:abstractNumId w:val="2"/>
  </w:num>
  <w:num w:numId="6">
    <w:abstractNumId w:val="6"/>
  </w:num>
  <w:num w:numId="7">
    <w:abstractNumId w:val="3"/>
  </w:num>
  <w:num w:numId="8">
    <w:abstractNumId w:val="1"/>
  </w:num>
  <w:num w:numId="9">
    <w:abstractNumId w:val="5"/>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rsids>
    <w:rsidRoot w:val="002B7266"/>
    <w:rsid w:val="00047DB8"/>
    <w:rsid w:val="00053673"/>
    <w:rsid w:val="00162D81"/>
    <w:rsid w:val="0019439F"/>
    <w:rsid w:val="001F7E2E"/>
    <w:rsid w:val="002147DB"/>
    <w:rsid w:val="00221369"/>
    <w:rsid w:val="00236AAC"/>
    <w:rsid w:val="002B7266"/>
    <w:rsid w:val="002D0B4B"/>
    <w:rsid w:val="002E0C9F"/>
    <w:rsid w:val="003177B9"/>
    <w:rsid w:val="003A6327"/>
    <w:rsid w:val="003A66CA"/>
    <w:rsid w:val="003B36AC"/>
    <w:rsid w:val="003D5D8E"/>
    <w:rsid w:val="004619C9"/>
    <w:rsid w:val="004720DC"/>
    <w:rsid w:val="004B330F"/>
    <w:rsid w:val="004E1A12"/>
    <w:rsid w:val="005209BE"/>
    <w:rsid w:val="005857AA"/>
    <w:rsid w:val="005C7227"/>
    <w:rsid w:val="006568C8"/>
    <w:rsid w:val="0066414F"/>
    <w:rsid w:val="006660E0"/>
    <w:rsid w:val="006B43E1"/>
    <w:rsid w:val="006F7A7A"/>
    <w:rsid w:val="00785537"/>
    <w:rsid w:val="007E2B76"/>
    <w:rsid w:val="00825CAC"/>
    <w:rsid w:val="008500DB"/>
    <w:rsid w:val="00884365"/>
    <w:rsid w:val="008A210D"/>
    <w:rsid w:val="00923158"/>
    <w:rsid w:val="00AC6BE0"/>
    <w:rsid w:val="00AE12A1"/>
    <w:rsid w:val="00B76A44"/>
    <w:rsid w:val="00BE03F1"/>
    <w:rsid w:val="00BE10A0"/>
    <w:rsid w:val="00C014F2"/>
    <w:rsid w:val="00C47719"/>
    <w:rsid w:val="00C818C6"/>
    <w:rsid w:val="00D056BD"/>
    <w:rsid w:val="00D11B01"/>
    <w:rsid w:val="00D4781B"/>
    <w:rsid w:val="00D80C6F"/>
    <w:rsid w:val="00D96FD5"/>
    <w:rsid w:val="00DC4E48"/>
    <w:rsid w:val="00DD68EB"/>
    <w:rsid w:val="00DF3AA7"/>
    <w:rsid w:val="00E8707D"/>
    <w:rsid w:val="00EA7C7F"/>
    <w:rsid w:val="00EB753B"/>
    <w:rsid w:val="00FE62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266"/>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2B7266"/>
    <w:pPr>
      <w:keepNext/>
      <w:outlineLvl w:val="0"/>
    </w:pPr>
    <w:rPr>
      <w:rFonts w:ascii="Arial" w:hAnsi="Arial"/>
      <w:sz w:val="24"/>
    </w:rPr>
  </w:style>
  <w:style w:type="paragraph" w:styleId="Ttulo2">
    <w:name w:val="heading 2"/>
    <w:basedOn w:val="Normal"/>
    <w:next w:val="Normal"/>
    <w:link w:val="Ttulo2Car"/>
    <w:qFormat/>
    <w:rsid w:val="002B7266"/>
    <w:pPr>
      <w:keepNext/>
      <w:jc w:val="center"/>
      <w:outlineLvl w:val="1"/>
    </w:pPr>
    <w:rPr>
      <w:rFonts w:ascii="Arial" w:hAnsi="Arial"/>
      <w:sz w:val="24"/>
    </w:rPr>
  </w:style>
  <w:style w:type="paragraph" w:styleId="Ttulo3">
    <w:name w:val="heading 3"/>
    <w:basedOn w:val="Normal"/>
    <w:next w:val="Normal"/>
    <w:link w:val="Ttulo3Car"/>
    <w:uiPriority w:val="9"/>
    <w:semiHidden/>
    <w:unhideWhenUsed/>
    <w:qFormat/>
    <w:rsid w:val="002147DB"/>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2147DB"/>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2147DB"/>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4720D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B7266"/>
    <w:rPr>
      <w:rFonts w:ascii="Arial" w:eastAsia="Times New Roman" w:hAnsi="Arial" w:cs="Times New Roman"/>
      <w:sz w:val="24"/>
      <w:szCs w:val="20"/>
      <w:lang w:eastAsia="es-ES"/>
    </w:rPr>
  </w:style>
  <w:style w:type="character" w:customStyle="1" w:styleId="Ttulo2Car">
    <w:name w:val="Título 2 Car"/>
    <w:basedOn w:val="Fuentedeprrafopredeter"/>
    <w:link w:val="Ttulo2"/>
    <w:rsid w:val="002B7266"/>
    <w:rPr>
      <w:rFonts w:ascii="Arial" w:eastAsia="Times New Roman" w:hAnsi="Arial" w:cs="Times New Roman"/>
      <w:sz w:val="24"/>
      <w:szCs w:val="20"/>
      <w:lang w:eastAsia="es-ES"/>
    </w:rPr>
  </w:style>
  <w:style w:type="paragraph" w:styleId="Prrafodelista">
    <w:name w:val="List Paragraph"/>
    <w:basedOn w:val="Normal"/>
    <w:qFormat/>
    <w:rsid w:val="002B7266"/>
    <w:pPr>
      <w:ind w:left="720"/>
      <w:contextualSpacing/>
    </w:pPr>
  </w:style>
  <w:style w:type="character" w:customStyle="1" w:styleId="Ttulo3Car">
    <w:name w:val="Título 3 Car"/>
    <w:basedOn w:val="Fuentedeprrafopredeter"/>
    <w:link w:val="Ttulo3"/>
    <w:uiPriority w:val="9"/>
    <w:semiHidden/>
    <w:rsid w:val="002147DB"/>
    <w:rPr>
      <w:rFonts w:asciiTheme="majorHAnsi" w:eastAsiaTheme="majorEastAsia" w:hAnsiTheme="majorHAnsi" w:cstheme="majorBidi"/>
      <w:b/>
      <w:bCs/>
      <w:color w:val="4F81BD" w:themeColor="accent1"/>
      <w:sz w:val="20"/>
      <w:szCs w:val="20"/>
      <w:lang w:eastAsia="es-ES"/>
    </w:rPr>
  </w:style>
  <w:style w:type="character" w:customStyle="1" w:styleId="Ttulo5Car">
    <w:name w:val="Título 5 Car"/>
    <w:basedOn w:val="Fuentedeprrafopredeter"/>
    <w:link w:val="Ttulo5"/>
    <w:uiPriority w:val="9"/>
    <w:semiHidden/>
    <w:rsid w:val="002147DB"/>
    <w:rPr>
      <w:rFonts w:asciiTheme="majorHAnsi" w:eastAsiaTheme="majorEastAsia" w:hAnsiTheme="majorHAnsi" w:cstheme="majorBidi"/>
      <w:color w:val="243F60" w:themeColor="accent1" w:themeShade="7F"/>
      <w:sz w:val="20"/>
      <w:szCs w:val="20"/>
      <w:lang w:eastAsia="es-ES"/>
    </w:rPr>
  </w:style>
  <w:style w:type="paragraph" w:styleId="Textodeglobo">
    <w:name w:val="Balloon Text"/>
    <w:basedOn w:val="Normal"/>
    <w:link w:val="TextodegloboCar"/>
    <w:uiPriority w:val="99"/>
    <w:semiHidden/>
    <w:unhideWhenUsed/>
    <w:rsid w:val="002147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147DB"/>
    <w:rPr>
      <w:rFonts w:ascii="Lucida Grande" w:eastAsia="Times New Roman" w:hAnsi="Lucida Grande" w:cs="Lucida Grande"/>
      <w:sz w:val="18"/>
      <w:szCs w:val="18"/>
      <w:lang w:eastAsia="es-ES"/>
    </w:rPr>
  </w:style>
  <w:style w:type="character" w:customStyle="1" w:styleId="Ttulo7Car">
    <w:name w:val="Título 7 Car"/>
    <w:basedOn w:val="Fuentedeprrafopredeter"/>
    <w:link w:val="Ttulo7"/>
    <w:uiPriority w:val="9"/>
    <w:semiHidden/>
    <w:rsid w:val="002147DB"/>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semiHidden/>
    <w:unhideWhenUsed/>
    <w:rsid w:val="00DC4E48"/>
    <w:pPr>
      <w:spacing w:before="100" w:beforeAutospacing="1" w:after="100" w:afterAutospacing="1"/>
    </w:pPr>
    <w:rPr>
      <w:rFonts w:ascii="Times" w:eastAsiaTheme="minorHAnsi" w:hAnsi="Times"/>
      <w:lang w:val="es-ES_tradnl"/>
    </w:rPr>
  </w:style>
  <w:style w:type="paragraph" w:styleId="Textoindependiente">
    <w:name w:val="Body Text"/>
    <w:basedOn w:val="Normal"/>
    <w:link w:val="TextoindependienteCar"/>
    <w:rsid w:val="00DF3AA7"/>
    <w:pPr>
      <w:tabs>
        <w:tab w:val="left" w:pos="360"/>
      </w:tabs>
      <w:jc w:val="both"/>
    </w:pPr>
    <w:rPr>
      <w:rFonts w:ascii="Arial" w:hAnsi="Arial" w:cs="Arial"/>
      <w:sz w:val="16"/>
      <w:szCs w:val="14"/>
    </w:rPr>
  </w:style>
  <w:style w:type="character" w:customStyle="1" w:styleId="TextoindependienteCar">
    <w:name w:val="Texto independiente Car"/>
    <w:basedOn w:val="Fuentedeprrafopredeter"/>
    <w:link w:val="Textoindependiente"/>
    <w:rsid w:val="00DF3AA7"/>
    <w:rPr>
      <w:rFonts w:ascii="Arial" w:eastAsia="Times New Roman" w:hAnsi="Arial" w:cs="Arial"/>
      <w:sz w:val="16"/>
      <w:szCs w:val="14"/>
      <w:lang w:eastAsia="es-ES"/>
    </w:rPr>
  </w:style>
  <w:style w:type="character" w:styleId="nfasis">
    <w:name w:val="Emphasis"/>
    <w:basedOn w:val="Fuentedeprrafopredeter"/>
    <w:qFormat/>
    <w:rsid w:val="00DF3AA7"/>
    <w:rPr>
      <w:i/>
      <w:iCs/>
    </w:rPr>
  </w:style>
  <w:style w:type="paragraph" w:styleId="Encabezado">
    <w:name w:val="header"/>
    <w:basedOn w:val="Normal"/>
    <w:link w:val="EncabezadoCar"/>
    <w:rsid w:val="004720DC"/>
    <w:pPr>
      <w:tabs>
        <w:tab w:val="center" w:pos="4252"/>
        <w:tab w:val="right" w:pos="8504"/>
      </w:tabs>
    </w:pPr>
    <w:rPr>
      <w:sz w:val="24"/>
      <w:szCs w:val="24"/>
    </w:rPr>
  </w:style>
  <w:style w:type="character" w:customStyle="1" w:styleId="EncabezadoCar">
    <w:name w:val="Encabezado Car"/>
    <w:basedOn w:val="Fuentedeprrafopredeter"/>
    <w:link w:val="Encabezado"/>
    <w:rsid w:val="004720DC"/>
    <w:rPr>
      <w:rFonts w:ascii="Times New Roman" w:eastAsia="Times New Roman" w:hAnsi="Times New Roman" w:cs="Times New Roman"/>
      <w:sz w:val="24"/>
      <w:szCs w:val="24"/>
      <w:lang w:eastAsia="es-ES"/>
    </w:rPr>
  </w:style>
  <w:style w:type="character" w:customStyle="1" w:styleId="Ttulo9Car">
    <w:name w:val="Título 9 Car"/>
    <w:basedOn w:val="Fuentedeprrafopredeter"/>
    <w:link w:val="Ttulo9"/>
    <w:uiPriority w:val="9"/>
    <w:semiHidden/>
    <w:rsid w:val="004720DC"/>
    <w:rPr>
      <w:rFonts w:asciiTheme="majorHAnsi" w:eastAsiaTheme="majorEastAsia" w:hAnsiTheme="majorHAnsi" w:cstheme="majorBidi"/>
      <w:i/>
      <w:iCs/>
      <w:color w:val="404040" w:themeColor="text1" w:themeTint="BF"/>
      <w:sz w:val="20"/>
      <w:szCs w:val="20"/>
      <w:lang w:eastAsia="es-ES"/>
    </w:rPr>
  </w:style>
  <w:style w:type="paragraph" w:styleId="Textoindependiente2">
    <w:name w:val="Body Text 2"/>
    <w:basedOn w:val="Normal"/>
    <w:link w:val="Textoindependiente2Car"/>
    <w:uiPriority w:val="99"/>
    <w:semiHidden/>
    <w:unhideWhenUsed/>
    <w:rsid w:val="004720DC"/>
    <w:pPr>
      <w:spacing w:after="120" w:line="480" w:lineRule="auto"/>
    </w:pPr>
  </w:style>
  <w:style w:type="character" w:customStyle="1" w:styleId="Textoindependiente2Car">
    <w:name w:val="Texto independiente 2 Car"/>
    <w:basedOn w:val="Fuentedeprrafopredeter"/>
    <w:link w:val="Textoindependiente2"/>
    <w:uiPriority w:val="99"/>
    <w:semiHidden/>
    <w:rsid w:val="004720DC"/>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4720DC"/>
    <w:pPr>
      <w:spacing w:after="120"/>
      <w:ind w:left="283"/>
    </w:pPr>
  </w:style>
  <w:style w:type="character" w:customStyle="1" w:styleId="SangradetextonormalCar">
    <w:name w:val="Sangría de texto normal Car"/>
    <w:basedOn w:val="Fuentedeprrafopredeter"/>
    <w:link w:val="Sangradetextonormal"/>
    <w:uiPriority w:val="99"/>
    <w:semiHidden/>
    <w:rsid w:val="004720DC"/>
    <w:rPr>
      <w:rFonts w:ascii="Times New Roman" w:eastAsia="Times New Roman" w:hAnsi="Times New Roman" w:cs="Times New Roman"/>
      <w:sz w:val="20"/>
      <w:szCs w:val="20"/>
      <w:lang w:eastAsia="es-ES"/>
    </w:rPr>
  </w:style>
</w:styles>
</file>

<file path=word/webSettings.xml><?xml version="1.0" encoding="utf-8"?>
<w:webSettings xmlns:r="http://schemas.openxmlformats.org/officeDocument/2006/relationships" xmlns:w="http://schemas.openxmlformats.org/wordprocessingml/2006/main">
  <w:divs>
    <w:div w:id="242684529">
      <w:bodyDiv w:val="1"/>
      <w:marLeft w:val="0"/>
      <w:marRight w:val="0"/>
      <w:marTop w:val="0"/>
      <w:marBottom w:val="0"/>
      <w:divBdr>
        <w:top w:val="none" w:sz="0" w:space="0" w:color="auto"/>
        <w:left w:val="none" w:sz="0" w:space="0" w:color="auto"/>
        <w:bottom w:val="none" w:sz="0" w:space="0" w:color="auto"/>
        <w:right w:val="none" w:sz="0" w:space="0" w:color="auto"/>
      </w:divBdr>
    </w:div>
    <w:div w:id="259338149">
      <w:bodyDiv w:val="1"/>
      <w:marLeft w:val="0"/>
      <w:marRight w:val="0"/>
      <w:marTop w:val="0"/>
      <w:marBottom w:val="0"/>
      <w:divBdr>
        <w:top w:val="none" w:sz="0" w:space="0" w:color="auto"/>
        <w:left w:val="none" w:sz="0" w:space="0" w:color="auto"/>
        <w:bottom w:val="none" w:sz="0" w:space="0" w:color="auto"/>
        <w:right w:val="none" w:sz="0" w:space="0" w:color="auto"/>
      </w:divBdr>
    </w:div>
    <w:div w:id="479031723">
      <w:bodyDiv w:val="1"/>
      <w:marLeft w:val="0"/>
      <w:marRight w:val="0"/>
      <w:marTop w:val="0"/>
      <w:marBottom w:val="0"/>
      <w:divBdr>
        <w:top w:val="none" w:sz="0" w:space="0" w:color="auto"/>
        <w:left w:val="none" w:sz="0" w:space="0" w:color="auto"/>
        <w:bottom w:val="none" w:sz="0" w:space="0" w:color="auto"/>
        <w:right w:val="none" w:sz="0" w:space="0" w:color="auto"/>
      </w:divBdr>
    </w:div>
    <w:div w:id="487787991">
      <w:bodyDiv w:val="1"/>
      <w:marLeft w:val="0"/>
      <w:marRight w:val="0"/>
      <w:marTop w:val="0"/>
      <w:marBottom w:val="0"/>
      <w:divBdr>
        <w:top w:val="none" w:sz="0" w:space="0" w:color="auto"/>
        <w:left w:val="none" w:sz="0" w:space="0" w:color="auto"/>
        <w:bottom w:val="none" w:sz="0" w:space="0" w:color="auto"/>
        <w:right w:val="none" w:sz="0" w:space="0" w:color="auto"/>
      </w:divBdr>
    </w:div>
    <w:div w:id="512261905">
      <w:bodyDiv w:val="1"/>
      <w:marLeft w:val="0"/>
      <w:marRight w:val="0"/>
      <w:marTop w:val="0"/>
      <w:marBottom w:val="0"/>
      <w:divBdr>
        <w:top w:val="none" w:sz="0" w:space="0" w:color="auto"/>
        <w:left w:val="none" w:sz="0" w:space="0" w:color="auto"/>
        <w:bottom w:val="none" w:sz="0" w:space="0" w:color="auto"/>
        <w:right w:val="none" w:sz="0" w:space="0" w:color="auto"/>
      </w:divBdr>
    </w:div>
    <w:div w:id="547188056">
      <w:bodyDiv w:val="1"/>
      <w:marLeft w:val="0"/>
      <w:marRight w:val="0"/>
      <w:marTop w:val="0"/>
      <w:marBottom w:val="0"/>
      <w:divBdr>
        <w:top w:val="none" w:sz="0" w:space="0" w:color="auto"/>
        <w:left w:val="none" w:sz="0" w:space="0" w:color="auto"/>
        <w:bottom w:val="none" w:sz="0" w:space="0" w:color="auto"/>
        <w:right w:val="none" w:sz="0" w:space="0" w:color="auto"/>
      </w:divBdr>
    </w:div>
    <w:div w:id="693851273">
      <w:bodyDiv w:val="1"/>
      <w:marLeft w:val="0"/>
      <w:marRight w:val="0"/>
      <w:marTop w:val="0"/>
      <w:marBottom w:val="0"/>
      <w:divBdr>
        <w:top w:val="none" w:sz="0" w:space="0" w:color="auto"/>
        <w:left w:val="none" w:sz="0" w:space="0" w:color="auto"/>
        <w:bottom w:val="none" w:sz="0" w:space="0" w:color="auto"/>
        <w:right w:val="none" w:sz="0" w:space="0" w:color="auto"/>
      </w:divBdr>
    </w:div>
    <w:div w:id="768768944">
      <w:bodyDiv w:val="1"/>
      <w:marLeft w:val="0"/>
      <w:marRight w:val="0"/>
      <w:marTop w:val="0"/>
      <w:marBottom w:val="0"/>
      <w:divBdr>
        <w:top w:val="none" w:sz="0" w:space="0" w:color="auto"/>
        <w:left w:val="none" w:sz="0" w:space="0" w:color="auto"/>
        <w:bottom w:val="none" w:sz="0" w:space="0" w:color="auto"/>
        <w:right w:val="none" w:sz="0" w:space="0" w:color="auto"/>
      </w:divBdr>
    </w:div>
    <w:div w:id="824473041">
      <w:bodyDiv w:val="1"/>
      <w:marLeft w:val="0"/>
      <w:marRight w:val="0"/>
      <w:marTop w:val="0"/>
      <w:marBottom w:val="0"/>
      <w:divBdr>
        <w:top w:val="none" w:sz="0" w:space="0" w:color="auto"/>
        <w:left w:val="none" w:sz="0" w:space="0" w:color="auto"/>
        <w:bottom w:val="none" w:sz="0" w:space="0" w:color="auto"/>
        <w:right w:val="none" w:sz="0" w:space="0" w:color="auto"/>
      </w:divBdr>
    </w:div>
    <w:div w:id="1171139734">
      <w:bodyDiv w:val="1"/>
      <w:marLeft w:val="0"/>
      <w:marRight w:val="0"/>
      <w:marTop w:val="0"/>
      <w:marBottom w:val="0"/>
      <w:divBdr>
        <w:top w:val="none" w:sz="0" w:space="0" w:color="auto"/>
        <w:left w:val="none" w:sz="0" w:space="0" w:color="auto"/>
        <w:bottom w:val="none" w:sz="0" w:space="0" w:color="auto"/>
        <w:right w:val="none" w:sz="0" w:space="0" w:color="auto"/>
      </w:divBdr>
    </w:div>
    <w:div w:id="1197936698">
      <w:bodyDiv w:val="1"/>
      <w:marLeft w:val="0"/>
      <w:marRight w:val="0"/>
      <w:marTop w:val="0"/>
      <w:marBottom w:val="0"/>
      <w:divBdr>
        <w:top w:val="none" w:sz="0" w:space="0" w:color="auto"/>
        <w:left w:val="none" w:sz="0" w:space="0" w:color="auto"/>
        <w:bottom w:val="none" w:sz="0" w:space="0" w:color="auto"/>
        <w:right w:val="none" w:sz="0" w:space="0" w:color="auto"/>
      </w:divBdr>
    </w:div>
    <w:div w:id="1473644091">
      <w:bodyDiv w:val="1"/>
      <w:marLeft w:val="0"/>
      <w:marRight w:val="0"/>
      <w:marTop w:val="0"/>
      <w:marBottom w:val="0"/>
      <w:divBdr>
        <w:top w:val="none" w:sz="0" w:space="0" w:color="auto"/>
        <w:left w:val="none" w:sz="0" w:space="0" w:color="auto"/>
        <w:bottom w:val="none" w:sz="0" w:space="0" w:color="auto"/>
        <w:right w:val="none" w:sz="0" w:space="0" w:color="auto"/>
      </w:divBdr>
    </w:div>
    <w:div w:id="1537766477">
      <w:bodyDiv w:val="1"/>
      <w:marLeft w:val="0"/>
      <w:marRight w:val="0"/>
      <w:marTop w:val="0"/>
      <w:marBottom w:val="0"/>
      <w:divBdr>
        <w:top w:val="none" w:sz="0" w:space="0" w:color="auto"/>
        <w:left w:val="none" w:sz="0" w:space="0" w:color="auto"/>
        <w:bottom w:val="none" w:sz="0" w:space="0" w:color="auto"/>
        <w:right w:val="none" w:sz="0" w:space="0" w:color="auto"/>
      </w:divBdr>
    </w:div>
    <w:div w:id="1666323731">
      <w:bodyDiv w:val="1"/>
      <w:marLeft w:val="0"/>
      <w:marRight w:val="0"/>
      <w:marTop w:val="0"/>
      <w:marBottom w:val="0"/>
      <w:divBdr>
        <w:top w:val="none" w:sz="0" w:space="0" w:color="auto"/>
        <w:left w:val="none" w:sz="0" w:space="0" w:color="auto"/>
        <w:bottom w:val="none" w:sz="0" w:space="0" w:color="auto"/>
        <w:right w:val="none" w:sz="0" w:space="0" w:color="auto"/>
      </w:divBdr>
    </w:div>
    <w:div w:id="1682316022">
      <w:bodyDiv w:val="1"/>
      <w:marLeft w:val="0"/>
      <w:marRight w:val="0"/>
      <w:marTop w:val="0"/>
      <w:marBottom w:val="0"/>
      <w:divBdr>
        <w:top w:val="none" w:sz="0" w:space="0" w:color="auto"/>
        <w:left w:val="none" w:sz="0" w:space="0" w:color="auto"/>
        <w:bottom w:val="none" w:sz="0" w:space="0" w:color="auto"/>
        <w:right w:val="none" w:sz="0" w:space="0" w:color="auto"/>
      </w:divBdr>
    </w:div>
    <w:div w:id="1851602412">
      <w:bodyDiv w:val="1"/>
      <w:marLeft w:val="0"/>
      <w:marRight w:val="0"/>
      <w:marTop w:val="0"/>
      <w:marBottom w:val="0"/>
      <w:divBdr>
        <w:top w:val="none" w:sz="0" w:space="0" w:color="auto"/>
        <w:left w:val="none" w:sz="0" w:space="0" w:color="auto"/>
        <w:bottom w:val="none" w:sz="0" w:space="0" w:color="auto"/>
        <w:right w:val="none" w:sz="0" w:space="0" w:color="auto"/>
      </w:divBdr>
    </w:div>
    <w:div w:id="1926765727">
      <w:bodyDiv w:val="1"/>
      <w:marLeft w:val="0"/>
      <w:marRight w:val="0"/>
      <w:marTop w:val="0"/>
      <w:marBottom w:val="0"/>
      <w:divBdr>
        <w:top w:val="none" w:sz="0" w:space="0" w:color="auto"/>
        <w:left w:val="none" w:sz="0" w:space="0" w:color="auto"/>
        <w:bottom w:val="none" w:sz="0" w:space="0" w:color="auto"/>
        <w:right w:val="none" w:sz="0" w:space="0" w:color="auto"/>
      </w:divBdr>
    </w:div>
    <w:div w:id="1962222009">
      <w:bodyDiv w:val="1"/>
      <w:marLeft w:val="0"/>
      <w:marRight w:val="0"/>
      <w:marTop w:val="0"/>
      <w:marBottom w:val="0"/>
      <w:divBdr>
        <w:top w:val="none" w:sz="0" w:space="0" w:color="auto"/>
        <w:left w:val="none" w:sz="0" w:space="0" w:color="auto"/>
        <w:bottom w:val="none" w:sz="0" w:space="0" w:color="auto"/>
        <w:right w:val="none" w:sz="0" w:space="0" w:color="auto"/>
      </w:divBdr>
    </w:div>
    <w:div w:id="1993168729">
      <w:bodyDiv w:val="1"/>
      <w:marLeft w:val="0"/>
      <w:marRight w:val="0"/>
      <w:marTop w:val="0"/>
      <w:marBottom w:val="0"/>
      <w:divBdr>
        <w:top w:val="none" w:sz="0" w:space="0" w:color="auto"/>
        <w:left w:val="none" w:sz="0" w:space="0" w:color="auto"/>
        <w:bottom w:val="none" w:sz="0" w:space="0" w:color="auto"/>
        <w:right w:val="none" w:sz="0" w:space="0" w:color="auto"/>
      </w:divBdr>
    </w:div>
    <w:div w:id="2078162184">
      <w:bodyDiv w:val="1"/>
      <w:marLeft w:val="0"/>
      <w:marRight w:val="0"/>
      <w:marTop w:val="0"/>
      <w:marBottom w:val="0"/>
      <w:divBdr>
        <w:top w:val="none" w:sz="0" w:space="0" w:color="auto"/>
        <w:left w:val="none" w:sz="0" w:space="0" w:color="auto"/>
        <w:bottom w:val="none" w:sz="0" w:space="0" w:color="auto"/>
        <w:right w:val="none" w:sz="0" w:space="0" w:color="auto"/>
      </w:divBdr>
    </w:div>
    <w:div w:id="213524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8.xml"/><Relationship Id="rId18" Type="http://schemas.openxmlformats.org/officeDocument/2006/relationships/image" Target="media/image3.png"/><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6" Type="http://schemas.openxmlformats.org/officeDocument/2006/relationships/chart" Target="charts/chart68.xml"/><Relationship Id="rId84" Type="http://schemas.openxmlformats.org/officeDocument/2006/relationships/image" Target="media/image6.png"/><Relationship Id="rId89" Type="http://schemas.openxmlformats.org/officeDocument/2006/relationships/chart" Target="charts/chart78.xml"/><Relationship Id="rId7" Type="http://schemas.openxmlformats.org/officeDocument/2006/relationships/chart" Target="charts/chart2.xml"/><Relationship Id="rId71" Type="http://schemas.openxmlformats.org/officeDocument/2006/relationships/chart" Target="charts/chart63.xml"/><Relationship Id="rId92" Type="http://schemas.openxmlformats.org/officeDocument/2006/relationships/chart" Target="charts/chart81.xml"/><Relationship Id="rId2" Type="http://schemas.openxmlformats.org/officeDocument/2006/relationships/numbering" Target="numbering.xml"/><Relationship Id="rId16" Type="http://schemas.openxmlformats.org/officeDocument/2006/relationships/chart" Target="charts/chart11.xml"/><Relationship Id="rId29" Type="http://schemas.openxmlformats.org/officeDocument/2006/relationships/chart" Target="charts/chart22.xml"/><Relationship Id="rId11" Type="http://schemas.openxmlformats.org/officeDocument/2006/relationships/chart" Target="charts/chart6.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87"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chart" Target="charts/chart74.xml"/><Relationship Id="rId90" Type="http://schemas.openxmlformats.org/officeDocument/2006/relationships/chart" Target="charts/chart79.xml"/><Relationship Id="rId19" Type="http://schemas.openxmlformats.org/officeDocument/2006/relationships/chart" Target="charts/chart12.xml"/><Relationship Id="rId14" Type="http://schemas.openxmlformats.org/officeDocument/2006/relationships/chart" Target="charts/chart9.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8" Type="http://schemas.openxmlformats.org/officeDocument/2006/relationships/chart" Target="charts/chart3.xml"/><Relationship Id="rId51" Type="http://schemas.openxmlformats.org/officeDocument/2006/relationships/chart" Target="charts/chart44.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6.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7.xml"/><Relationship Id="rId17" Type="http://schemas.openxmlformats.org/officeDocument/2006/relationships/image" Target="media/image2.png"/><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77.xml"/><Relationship Id="rId91" Type="http://schemas.openxmlformats.org/officeDocument/2006/relationships/chart" Target="charts/chart80.xml"/><Relationship Id="rId1" Type="http://schemas.openxmlformats.org/officeDocument/2006/relationships/customXml" Target="../customXml/item1.xml"/><Relationship Id="rId6"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49.xml"/><Relationship Id="rId10" Type="http://schemas.openxmlformats.org/officeDocument/2006/relationships/chart" Target="charts/chart5.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image" Target="media/image5.png"/><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image" Target="media/image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estebantellez:Downloads:TABULACION%202014%20III%20TRIMESTR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REDIT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REDIT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ONVENI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ONVENI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ONVENI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APTACION%20Y%20COLOCACIO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APTACION%20Y%20COLOCACIO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APTACION%20Y%20COLOCACIO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APTACION%20Y%20COLOCACIO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APTACION%20Y%20COLOCAC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estebantellez:Downloads:TABULACION%202014%20III%20TRIMESTR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Macintosh%20HD:Users:estebantellez:Downloads:INDICADORES%202014%20OCTUBRE%20-%20DICIEMBRE%20CONTABILIDAD.xlsx" TargetMode="External"/><Relationship Id="rId1" Type="http://schemas.openxmlformats.org/officeDocument/2006/relationships/image" Target="../media/image4.jpeg"/></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estebantellez:Downloads:TABULACION%202014%20III%20TRIMESTR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estebantellez:Downloads:TABULACION%202014%20III%20TRIMESTRE.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ABILIDAD.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SISTEMAS.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SISTEMAS.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SISTEMAS.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SISTEMAS.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SISTEMAS.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SISTEMAS.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MPRA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estebantellez:Downloads:TABULACION%202014%20III%20TRIMESTRE.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MPRAS.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OMPRAS.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RECURSOS%20HUMANO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RECURSOS%20HUMANO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JURIDICA.xls"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JURIDICA.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JURIDICA.xls"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ARCHIVO.xls"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estebantellez:Downloads:INDICADORES%202014%20OCTUBRE%20-%20DICIEMBRE%20CONTROL%20INTERNO.xls"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ROL%20INTERNO.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REDITOS.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NTROL%20INTERNO.xls"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estebantellez:Downloads:INDICADORES%202014%20OCTUBRE%20-%20DICIEMBRE%20CALIDAD.xls"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acintosh%20HD:Users:estebantellez:Downloads:INDICADORES%202014%20OCTUBRE%20-%20DICIEMBRE%20CALIDAD.xls"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Macintosh%20HD:Users:estebantellez:Downloads:INDICADORES%202014%20OCTUBRE%20-%20DICIEMBRE%20CALIDAD.xls"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Macintosh%20HD:Users:estebantellez:Downloads:INDICADORES%202014%20OCTUBRE%20-%20DICIEMBRE%20CALIDAD.xls"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Macintosh%20HD:Users:estebantellez:Downloads:INDICADORES%202014%20OCTUBRE%20-%20DICIEMBRE%20CALIDAD.xls"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Macintosh%20HD:Users:estebantellez:Downloads:INDICADORES%202014%20OCTUBRE%20-%20DICIEMBRE%20CALIDAD.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MERCIAL.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MERCIAL.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COMERCI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REDITOS.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Macintosh%20HD:Users:estebantellez:Downloads:60.038.02-135-00%20CUADRO%20DE%20MANDO%202014.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Macintosh%20HD:Users:estebantellez:Downloads:60.038.02-135-00%20CUADRO%20DE%20MANDO%202014.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Macintosh%20HD:Users:estebantellez:Downloads:60.038.02-135-00%20CUADRO%20DE%20MANDO%202014.xls"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Macintosh%20HD:Users:estebantellez:Downloads:INDICADORES%202014%20OCTUBRE%20-%20DICIEMBRE%20GERENCIA.xlsx" TargetMode="External"/></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Macintosh%20HD:Users:estebantellez:Downloads:MAPA%20DE%20RIESGOS%20PROCESOS.xls" TargetMode="External"/></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Macintosh%20HD:Users:estebantellez:Downloads:MAPA%20DE%20RIESGOS%20PROCESOS.xls" TargetMode="External"/></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Macintosh%20HD:Users:estebantellez:Downloads:MAPA%20DE%20RIESGOS%20PROCESOS.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Macintosh%20HD:Users:estebantellez:Desktop:60.038.02-135-00%20CUADRO%20DE%20MANDO%202014.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Macintosh%20HD:Users:estebantellez:Desktop:60.038.02-135-00%20CUADRO%20DE%20MANDO%202014.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Macintosh%20HD:Users:estebantellez:Desktop:60.038.02-135-00%20CUADRO%20DE%20MANDO%20201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REDITOS.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Macintosh%20HD:Users:estebantellez:Desktop:60.038.02-135-00%20CUADRO%20DE%20MANDO%202014.xls"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Macintosh%20HD:Users:estebantellez:Desktop:60.038.02-135-00%20CUADRO%20DE%20MANDO%202014.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desan.idesan-PC\Dropbox\S.G.C.%20IDESAN%202014\18.%20INDICADORES%20DE%20GESTION\2014%20INDICADORES\OCTUBRE%20-%20DICIEMBRE%202014\EDITABLE\INDICADORES%202014%20OCTUBRE%20-%20DICIEMBRE%20CREDIT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CO"/>
            </a:pPr>
            <a:r>
              <a:rPr lang="en-US"/>
              <a:t>FIABILIDAD</a:t>
            </a:r>
          </a:p>
        </c:rich>
      </c:tx>
    </c:title>
    <c:view3D>
      <c:rAngAx val="1"/>
    </c:view3D>
    <c:plotArea>
      <c:layout/>
      <c:bar3DChart>
        <c:barDir val="col"/>
        <c:grouping val="clustered"/>
        <c:ser>
          <c:idx val="0"/>
          <c:order val="0"/>
          <c:tx>
            <c:strRef>
              <c:f>Hoja1!$B$7</c:f>
              <c:strCache>
                <c:ptCount val="1"/>
                <c:pt idx="0">
                  <c:v>LA EMPRESA REALIZA PROCESOS EN EL TIEMPO PROMETIDO</c:v>
                </c:pt>
              </c:strCache>
            </c:strRef>
          </c:tx>
          <c:dLbls>
            <c:txPr>
              <a:bodyPr/>
              <a:lstStyle/>
              <a:p>
                <a:pPr>
                  <a:defRPr lang="es-CO"/>
                </a:pPr>
                <a:endParaRPr lang="es-ES"/>
              </a:p>
            </c:txPr>
            <c:showVal val="1"/>
          </c:dLbls>
          <c:cat>
            <c:strRef>
              <c:f>Hoja1!$C$6:$G$6</c:f>
              <c:strCache>
                <c:ptCount val="5"/>
                <c:pt idx="0">
                  <c:v>DEFICIENTE</c:v>
                </c:pt>
                <c:pt idx="1">
                  <c:v>REGULAR</c:v>
                </c:pt>
                <c:pt idx="2">
                  <c:v>BUENO</c:v>
                </c:pt>
                <c:pt idx="3">
                  <c:v>EXCELENTE</c:v>
                </c:pt>
                <c:pt idx="4">
                  <c:v>NO RESPONDE</c:v>
                </c:pt>
              </c:strCache>
            </c:strRef>
          </c:cat>
          <c:val>
            <c:numRef>
              <c:f>Hoja1!$C$7:$G$7</c:f>
              <c:numCache>
                <c:formatCode>General</c:formatCode>
                <c:ptCount val="5"/>
                <c:pt idx="0">
                  <c:v>0</c:v>
                </c:pt>
                <c:pt idx="1">
                  <c:v>1</c:v>
                </c:pt>
                <c:pt idx="2">
                  <c:v>6</c:v>
                </c:pt>
                <c:pt idx="3">
                  <c:v>3</c:v>
                </c:pt>
                <c:pt idx="4">
                  <c:v>0</c:v>
                </c:pt>
              </c:numCache>
            </c:numRef>
          </c:val>
        </c:ser>
        <c:ser>
          <c:idx val="1"/>
          <c:order val="1"/>
          <c:tx>
            <c:strRef>
              <c:f>Hoja1!$B$8</c:f>
              <c:strCache>
                <c:ptCount val="1"/>
                <c:pt idx="0">
                  <c:v>AL PRESENTARSE UN PROBLEMA HAY UNA SOLUCION DE MANERA OPORTUNA</c:v>
                </c:pt>
              </c:strCache>
            </c:strRef>
          </c:tx>
          <c:dLbls>
            <c:txPr>
              <a:bodyPr/>
              <a:lstStyle/>
              <a:p>
                <a:pPr>
                  <a:defRPr lang="es-CO"/>
                </a:pPr>
                <a:endParaRPr lang="es-ES"/>
              </a:p>
            </c:txPr>
            <c:showVal val="1"/>
          </c:dLbls>
          <c:cat>
            <c:strRef>
              <c:f>Hoja1!$C$6:$G$6</c:f>
              <c:strCache>
                <c:ptCount val="5"/>
                <c:pt idx="0">
                  <c:v>DEFICIENTE</c:v>
                </c:pt>
                <c:pt idx="1">
                  <c:v>REGULAR</c:v>
                </c:pt>
                <c:pt idx="2">
                  <c:v>BUENO</c:v>
                </c:pt>
                <c:pt idx="3">
                  <c:v>EXCELENTE</c:v>
                </c:pt>
                <c:pt idx="4">
                  <c:v>NO RESPONDE</c:v>
                </c:pt>
              </c:strCache>
            </c:strRef>
          </c:cat>
          <c:val>
            <c:numRef>
              <c:f>Hoja1!$C$8:$G$8</c:f>
              <c:numCache>
                <c:formatCode>General</c:formatCode>
                <c:ptCount val="5"/>
                <c:pt idx="0">
                  <c:v>0</c:v>
                </c:pt>
                <c:pt idx="1">
                  <c:v>1</c:v>
                </c:pt>
                <c:pt idx="2">
                  <c:v>5</c:v>
                </c:pt>
                <c:pt idx="3">
                  <c:v>4</c:v>
                </c:pt>
                <c:pt idx="4">
                  <c:v>0</c:v>
                </c:pt>
              </c:numCache>
            </c:numRef>
          </c:val>
        </c:ser>
        <c:ser>
          <c:idx val="2"/>
          <c:order val="2"/>
          <c:tx>
            <c:strRef>
              <c:f>Hoja1!$B$9</c:f>
              <c:strCache>
                <c:ptCount val="1"/>
                <c:pt idx="0">
                  <c:v>LOS FUNCIONARIOS DESEMPEÑAN SU LABOR EN EL MOMENTO QUE LES CORRESPONDE</c:v>
                </c:pt>
              </c:strCache>
            </c:strRef>
          </c:tx>
          <c:dLbls>
            <c:txPr>
              <a:bodyPr/>
              <a:lstStyle/>
              <a:p>
                <a:pPr>
                  <a:defRPr lang="es-CO"/>
                </a:pPr>
                <a:endParaRPr lang="es-ES"/>
              </a:p>
            </c:txPr>
            <c:showVal val="1"/>
          </c:dLbls>
          <c:cat>
            <c:strRef>
              <c:f>Hoja1!$C$6:$G$6</c:f>
              <c:strCache>
                <c:ptCount val="5"/>
                <c:pt idx="0">
                  <c:v>DEFICIENTE</c:v>
                </c:pt>
                <c:pt idx="1">
                  <c:v>REGULAR</c:v>
                </c:pt>
                <c:pt idx="2">
                  <c:v>BUENO</c:v>
                </c:pt>
                <c:pt idx="3">
                  <c:v>EXCELENTE</c:v>
                </c:pt>
                <c:pt idx="4">
                  <c:v>NO RESPONDE</c:v>
                </c:pt>
              </c:strCache>
            </c:strRef>
          </c:cat>
          <c:val>
            <c:numRef>
              <c:f>Hoja1!$C$9:$G$9</c:f>
              <c:numCache>
                <c:formatCode>General</c:formatCode>
                <c:ptCount val="5"/>
                <c:pt idx="0">
                  <c:v>0</c:v>
                </c:pt>
                <c:pt idx="1">
                  <c:v>1</c:v>
                </c:pt>
                <c:pt idx="2">
                  <c:v>7</c:v>
                </c:pt>
                <c:pt idx="3">
                  <c:v>2</c:v>
                </c:pt>
                <c:pt idx="4">
                  <c:v>0</c:v>
                </c:pt>
              </c:numCache>
            </c:numRef>
          </c:val>
        </c:ser>
        <c:ser>
          <c:idx val="3"/>
          <c:order val="3"/>
          <c:tx>
            <c:strRef>
              <c:f>Hoja1!$B$10</c:f>
              <c:strCache>
                <c:ptCount val="1"/>
                <c:pt idx="0">
                  <c:v>SE ATIENDE A TIEPO LAS QUEJAS Y RECLAMOS</c:v>
                </c:pt>
              </c:strCache>
            </c:strRef>
          </c:tx>
          <c:dLbls>
            <c:txPr>
              <a:bodyPr/>
              <a:lstStyle/>
              <a:p>
                <a:pPr>
                  <a:defRPr lang="es-CO"/>
                </a:pPr>
                <a:endParaRPr lang="es-ES"/>
              </a:p>
            </c:txPr>
            <c:showVal val="1"/>
          </c:dLbls>
          <c:cat>
            <c:strRef>
              <c:f>Hoja1!$C$6:$G$6</c:f>
              <c:strCache>
                <c:ptCount val="5"/>
                <c:pt idx="0">
                  <c:v>DEFICIENTE</c:v>
                </c:pt>
                <c:pt idx="1">
                  <c:v>REGULAR</c:v>
                </c:pt>
                <c:pt idx="2">
                  <c:v>BUENO</c:v>
                </c:pt>
                <c:pt idx="3">
                  <c:v>EXCELENTE</c:v>
                </c:pt>
                <c:pt idx="4">
                  <c:v>NO RESPONDE</c:v>
                </c:pt>
              </c:strCache>
            </c:strRef>
          </c:cat>
          <c:val>
            <c:numRef>
              <c:f>Hoja1!$C$10:$G$10</c:f>
              <c:numCache>
                <c:formatCode>General</c:formatCode>
                <c:ptCount val="5"/>
                <c:pt idx="0">
                  <c:v>0</c:v>
                </c:pt>
                <c:pt idx="1">
                  <c:v>1</c:v>
                </c:pt>
                <c:pt idx="2">
                  <c:v>4</c:v>
                </c:pt>
                <c:pt idx="3">
                  <c:v>4</c:v>
                </c:pt>
                <c:pt idx="4">
                  <c:v>1</c:v>
                </c:pt>
              </c:numCache>
            </c:numRef>
          </c:val>
        </c:ser>
        <c:shape val="box"/>
        <c:axId val="129456000"/>
        <c:axId val="129457536"/>
        <c:axId val="0"/>
      </c:bar3DChart>
      <c:catAx>
        <c:axId val="129456000"/>
        <c:scaling>
          <c:orientation val="minMax"/>
        </c:scaling>
        <c:axPos val="b"/>
        <c:majorTickMark val="none"/>
        <c:tickLblPos val="nextTo"/>
        <c:txPr>
          <a:bodyPr/>
          <a:lstStyle/>
          <a:p>
            <a:pPr>
              <a:defRPr lang="es-CO"/>
            </a:pPr>
            <a:endParaRPr lang="es-ES"/>
          </a:p>
        </c:txPr>
        <c:crossAx val="129457536"/>
        <c:crosses val="autoZero"/>
        <c:auto val="1"/>
        <c:lblAlgn val="ctr"/>
        <c:lblOffset val="100"/>
      </c:catAx>
      <c:valAx>
        <c:axId val="129457536"/>
        <c:scaling>
          <c:orientation val="minMax"/>
        </c:scaling>
        <c:axPos val="l"/>
        <c:majorGridlines/>
        <c:numFmt formatCode="General" sourceLinked="1"/>
        <c:majorTickMark val="none"/>
        <c:tickLblPos val="nextTo"/>
        <c:txPr>
          <a:bodyPr/>
          <a:lstStyle/>
          <a:p>
            <a:pPr>
              <a:defRPr lang="es-CO"/>
            </a:pPr>
            <a:endParaRPr lang="es-ES"/>
          </a:p>
        </c:txPr>
        <c:crossAx val="129456000"/>
        <c:crosses val="autoZero"/>
        <c:crossBetween val="between"/>
      </c:valAx>
    </c:plotArea>
    <c:legend>
      <c:legendPos val="r"/>
      <c:layout>
        <c:manualLayout>
          <c:xMode val="edge"/>
          <c:yMode val="edge"/>
          <c:x val="0.64780223850193763"/>
          <c:y val="0.13799557882324021"/>
          <c:w val="0.33573492048207082"/>
          <c:h val="0.7374693839743921"/>
        </c:manualLayout>
      </c:layout>
      <c:txPr>
        <a:bodyPr/>
        <a:lstStyle/>
        <a:p>
          <a:pPr>
            <a:defRPr lang="es-CO"/>
          </a:pPr>
          <a:endParaRPr lang="es-E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00"/>
            </a:pPr>
            <a:r>
              <a:rPr lang="es-CO" sz="1400"/>
              <a:t>%EFECTIVIDAD EN COLOCACION DE CREDITOS</a:t>
            </a:r>
          </a:p>
        </c:rich>
      </c:tx>
    </c:title>
    <c:plotArea>
      <c:layout/>
      <c:barChart>
        <c:barDir val="col"/>
        <c:grouping val="clustered"/>
        <c:ser>
          <c:idx val="0"/>
          <c:order val="0"/>
          <c:tx>
            <c:strRef>
              <c:f>DATOS!$A$9</c:f>
              <c:strCache>
                <c:ptCount val="1"/>
                <c:pt idx="0">
                  <c:v>% EFECTIVIDAD EN COLOCACIÓN DE CREDITOS</c:v>
                </c:pt>
              </c:strCache>
            </c:strRef>
          </c:tx>
          <c:spPr>
            <a:solidFill>
              <a:srgbClr val="008000"/>
            </a:solidFill>
            <a:ln w="12700">
              <a:solidFill>
                <a:srgbClr val="000000"/>
              </a:solidFill>
              <a:prstDash val="solid"/>
            </a:ln>
          </c:spPr>
          <c:dLbls>
            <c:dLbl>
              <c:idx val="0"/>
              <c:layout>
                <c:manualLayout>
                  <c:x val="5.9215396002960784E-3"/>
                  <c:y val="1.7877094972067041E-2"/>
                </c:manualLayout>
              </c:layout>
              <c:showVal val="1"/>
            </c:dLbl>
            <c:dLbl>
              <c:idx val="1"/>
              <c:layout>
                <c:manualLayout>
                  <c:x val="0"/>
                  <c:y val="8.9385474860335188E-3"/>
                </c:manualLayout>
              </c:layout>
              <c:showVal val="1"/>
            </c:dLbl>
            <c:dLbl>
              <c:idx val="2"/>
              <c:layout>
                <c:manualLayout>
                  <c:x val="1.4803849000740167E-2"/>
                  <c:y val="4.469273743016782E-3"/>
                </c:manualLayout>
              </c:layout>
              <c:showVal val="1"/>
            </c:dLbl>
            <c:dLbl>
              <c:idx val="3"/>
              <c:layout>
                <c:manualLayout>
                  <c:x val="8.8823094004441463E-3"/>
                  <c:y val="4.469273743016782E-3"/>
                </c:manualLayout>
              </c:layout>
              <c:showVal val="1"/>
            </c:dLbl>
            <c:dLbl>
              <c:idx val="6"/>
              <c:layout>
                <c:manualLayout>
                  <c:x val="0"/>
                  <c:y val="8.9385474860335188E-3"/>
                </c:manualLayout>
              </c:layout>
              <c:showVal val="1"/>
            </c:dLbl>
            <c:txPr>
              <a:bodyPr/>
              <a:lstStyle/>
              <a:p>
                <a:pPr>
                  <a:defRPr sz="800"/>
                </a:pPr>
                <a:endParaRPr lang="es-ES"/>
              </a:p>
            </c:txPr>
            <c:showVal val="1"/>
          </c:dLbls>
          <c:cat>
            <c:strRef>
              <c:f>DATOS!$B$8:$AC$8</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DATOS!$B$9:$AC$9</c:f>
              <c:numCache>
                <c:formatCode>0.00%</c:formatCode>
                <c:ptCount val="8"/>
                <c:pt idx="0">
                  <c:v>0.58389999999999997</c:v>
                </c:pt>
                <c:pt idx="1">
                  <c:v>0.70350000000000001</c:v>
                </c:pt>
                <c:pt idx="2">
                  <c:v>0.70350000000000001</c:v>
                </c:pt>
                <c:pt idx="3">
                  <c:v>0.8</c:v>
                </c:pt>
                <c:pt idx="4" formatCode="0%">
                  <c:v>1.0045999999999971</c:v>
                </c:pt>
                <c:pt idx="5" formatCode="0%">
                  <c:v>0.96000000000000063</c:v>
                </c:pt>
                <c:pt idx="6" formatCode="0%">
                  <c:v>1.5633999999999968</c:v>
                </c:pt>
                <c:pt idx="7" formatCode="0%">
                  <c:v>1.6</c:v>
                </c:pt>
              </c:numCache>
            </c:numRef>
          </c:val>
        </c:ser>
        <c:gapWidth val="75"/>
        <c:overlap val="40"/>
        <c:axId val="164816000"/>
        <c:axId val="164817536"/>
      </c:barChart>
      <c:lineChart>
        <c:grouping val="standard"/>
        <c:ser>
          <c:idx val="1"/>
          <c:order val="1"/>
          <c:tx>
            <c:strRef>
              <c:f>DATOS!$A$10</c:f>
              <c:strCache>
                <c:ptCount val="1"/>
                <c:pt idx="0">
                  <c:v>EXCELENTE</c:v>
                </c:pt>
              </c:strCache>
            </c:strRef>
          </c:tx>
          <c:spPr>
            <a:ln w="25400">
              <a:solidFill>
                <a:srgbClr val="92D050"/>
              </a:solidFill>
              <a:prstDash val="solid"/>
            </a:ln>
          </c:spPr>
          <c:marker>
            <c:symbol val="none"/>
          </c:marker>
          <c:cat>
            <c:strRef>
              <c:f>DATOS!$B$8:$AC$8</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DATOS!$B$10:$AC$10</c:f>
              <c:numCache>
                <c:formatCode>0.00%</c:formatCode>
                <c:ptCount val="8"/>
                <c:pt idx="0">
                  <c:v>0.30000000000000032</c:v>
                </c:pt>
                <c:pt idx="1">
                  <c:v>0.30000000000000032</c:v>
                </c:pt>
                <c:pt idx="2" formatCode="0%">
                  <c:v>1</c:v>
                </c:pt>
                <c:pt idx="3" formatCode="0%">
                  <c:v>1</c:v>
                </c:pt>
                <c:pt idx="4" formatCode="0%">
                  <c:v>1</c:v>
                </c:pt>
                <c:pt idx="5" formatCode="0%">
                  <c:v>1</c:v>
                </c:pt>
                <c:pt idx="6" formatCode="0%">
                  <c:v>1</c:v>
                </c:pt>
                <c:pt idx="7" formatCode="0%">
                  <c:v>1</c:v>
                </c:pt>
              </c:numCache>
            </c:numRef>
          </c:val>
        </c:ser>
        <c:ser>
          <c:idx val="2"/>
          <c:order val="2"/>
          <c:tx>
            <c:strRef>
              <c:f>DATOS!$A$11</c:f>
              <c:strCache>
                <c:ptCount val="1"/>
                <c:pt idx="0">
                  <c:v>REGULAR</c:v>
                </c:pt>
              </c:strCache>
            </c:strRef>
          </c:tx>
          <c:spPr>
            <a:ln w="25400">
              <a:solidFill>
                <a:srgbClr val="00B0F0"/>
              </a:solidFill>
              <a:prstDash val="solid"/>
            </a:ln>
          </c:spPr>
          <c:marker>
            <c:symbol val="none"/>
          </c:marker>
          <c:cat>
            <c:strRef>
              <c:f>DATOS!$B$8:$AC$8</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DATOS!$B$11:$AC$11</c:f>
              <c:numCache>
                <c:formatCode>0.00%</c:formatCode>
                <c:ptCount val="8"/>
                <c:pt idx="0">
                  <c:v>0.24000000000000021</c:v>
                </c:pt>
                <c:pt idx="1">
                  <c:v>0.24000000000000021</c:v>
                </c:pt>
                <c:pt idx="2" formatCode="0%">
                  <c:v>0.8</c:v>
                </c:pt>
                <c:pt idx="3" formatCode="0%">
                  <c:v>0.8</c:v>
                </c:pt>
                <c:pt idx="4" formatCode="0%">
                  <c:v>0.8</c:v>
                </c:pt>
                <c:pt idx="5" formatCode="0%">
                  <c:v>0.8</c:v>
                </c:pt>
                <c:pt idx="6" formatCode="0%">
                  <c:v>0.8</c:v>
                </c:pt>
                <c:pt idx="7" formatCode="0%">
                  <c:v>0.8</c:v>
                </c:pt>
              </c:numCache>
            </c:numRef>
          </c:val>
        </c:ser>
        <c:ser>
          <c:idx val="3"/>
          <c:order val="3"/>
          <c:tx>
            <c:strRef>
              <c:f>DATOS!$A$12</c:f>
              <c:strCache>
                <c:ptCount val="1"/>
                <c:pt idx="0">
                  <c:v>DEFICIENTE</c:v>
                </c:pt>
              </c:strCache>
            </c:strRef>
          </c:tx>
          <c:spPr>
            <a:ln>
              <a:solidFill>
                <a:srgbClr val="FF0000"/>
              </a:solidFill>
            </a:ln>
          </c:spPr>
          <c:marker>
            <c:symbol val="none"/>
          </c:marker>
          <c:cat>
            <c:strRef>
              <c:f>DATOS!$B$8:$AC$8</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DATOS!$B$12:$AC$12</c:f>
              <c:numCache>
                <c:formatCode>0.00%</c:formatCode>
                <c:ptCount val="8"/>
                <c:pt idx="0">
                  <c:v>0.18000000000000024</c:v>
                </c:pt>
                <c:pt idx="1">
                  <c:v>0.18000000000000024</c:v>
                </c:pt>
                <c:pt idx="2" formatCode="0%">
                  <c:v>0.60000000000000064</c:v>
                </c:pt>
                <c:pt idx="3" formatCode="0%">
                  <c:v>0.60000000000000064</c:v>
                </c:pt>
                <c:pt idx="4" formatCode="0%">
                  <c:v>0.60000000000000064</c:v>
                </c:pt>
                <c:pt idx="5" formatCode="0%">
                  <c:v>0.60000000000000064</c:v>
                </c:pt>
                <c:pt idx="6" formatCode="0%">
                  <c:v>0.60000000000000064</c:v>
                </c:pt>
                <c:pt idx="7" formatCode="0%">
                  <c:v>0.60000000000000064</c:v>
                </c:pt>
              </c:numCache>
            </c:numRef>
          </c:val>
        </c:ser>
        <c:marker val="1"/>
        <c:axId val="164816000"/>
        <c:axId val="164817536"/>
      </c:lineChart>
      <c:catAx>
        <c:axId val="164816000"/>
        <c:scaling>
          <c:orientation val="minMax"/>
        </c:scaling>
        <c:axPos val="b"/>
        <c:numFmt formatCode="General" sourceLinked="1"/>
        <c:majorTickMark val="none"/>
        <c:tickLblPos val="nextTo"/>
        <c:spPr>
          <a:ln w="3175">
            <a:solidFill>
              <a:srgbClr val="000000"/>
            </a:solidFill>
            <a:prstDash val="solid"/>
          </a:ln>
        </c:spPr>
        <c:txPr>
          <a:bodyPr rot="-5400000" vert="horz"/>
          <a:lstStyle/>
          <a:p>
            <a:pPr>
              <a:defRPr lang="es-CO" sz="700" b="1" i="0" u="none" strike="noStrike" baseline="0">
                <a:solidFill>
                  <a:srgbClr val="000000"/>
                </a:solidFill>
                <a:latin typeface="Arial"/>
                <a:ea typeface="Arial"/>
                <a:cs typeface="Arial"/>
              </a:defRPr>
            </a:pPr>
            <a:endParaRPr lang="es-ES"/>
          </a:p>
        </c:txPr>
        <c:crossAx val="164817536"/>
        <c:crosses val="autoZero"/>
        <c:auto val="1"/>
        <c:lblAlgn val="ctr"/>
        <c:lblOffset val="100"/>
        <c:tickLblSkip val="1"/>
        <c:tickMarkSkip val="1"/>
      </c:catAx>
      <c:valAx>
        <c:axId val="164817536"/>
        <c:scaling>
          <c:orientation val="minMax"/>
        </c:scaling>
        <c:axPos val="l"/>
        <c:majorGridlines/>
        <c:numFmt formatCode="0%" sourceLinked="0"/>
        <c:majorTickMark val="none"/>
        <c:tickLblPos val="nextTo"/>
        <c:spPr>
          <a:ln w="3175">
            <a:solidFill>
              <a:srgbClr val="000000"/>
            </a:solidFill>
            <a:prstDash val="solid"/>
          </a:ln>
        </c:spPr>
        <c:txPr>
          <a:bodyPr rot="0" vert="horz"/>
          <a:lstStyle/>
          <a:p>
            <a:pPr>
              <a:defRPr lang="es-CO" sz="800" b="0" i="0" u="none" strike="noStrike" baseline="0">
                <a:solidFill>
                  <a:srgbClr val="000000"/>
                </a:solidFill>
                <a:latin typeface="Arial"/>
                <a:ea typeface="Arial"/>
                <a:cs typeface="Arial"/>
              </a:defRPr>
            </a:pPr>
            <a:endParaRPr lang="es-ES"/>
          </a:p>
        </c:txPr>
        <c:crossAx val="164816000"/>
        <c:crosses val="autoZero"/>
        <c:crossBetween val="between"/>
      </c:valAx>
      <c:spPr>
        <a:noFill/>
        <a:ln w="25400">
          <a:noFill/>
        </a:ln>
      </c:spPr>
    </c:plotArea>
    <c:legend>
      <c:legendPos val="r"/>
      <c:layout>
        <c:manualLayout>
          <c:xMode val="edge"/>
          <c:yMode val="edge"/>
          <c:x val="0.71924488713522261"/>
          <c:y val="0.32035050367307566"/>
          <c:w val="0.2629904940638898"/>
          <c:h val="0.54343271895482337"/>
        </c:manualLayout>
      </c:layout>
      <c:spPr>
        <a:solidFill>
          <a:srgbClr val="FFFFFF"/>
        </a:solidFill>
        <a:ln w="3175">
          <a:solidFill>
            <a:srgbClr val="000000"/>
          </a:solidFill>
          <a:prstDash val="solid"/>
        </a:ln>
      </c:spPr>
      <c:txPr>
        <a:bodyPr/>
        <a:lstStyle/>
        <a:p>
          <a:pPr>
            <a:defRPr lang="es-CO" sz="73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12700" cap="flat">
      <a:solidFill>
        <a:schemeClr val="tx1"/>
      </a:solidFill>
      <a:prstDash val="solid"/>
    </a:ln>
    <a:effectLst>
      <a:outerShdw dist="35921" dir="2700000" algn="br">
        <a:schemeClr val="bg1"/>
      </a:outerShdw>
    </a:effectLst>
  </c:spPr>
  <c:txPr>
    <a:bodyPr/>
    <a:lstStyle/>
    <a:p>
      <a:pPr>
        <a:defRPr sz="1425"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a:pPr>
            <a:r>
              <a:rPr lang="es-CO" sz="1400"/>
              <a:t>RECURSOS</a:t>
            </a:r>
            <a:r>
              <a:rPr lang="es-CO" sz="1400" baseline="0"/>
              <a:t> MIPYMES Y MICROPIMES</a:t>
            </a:r>
            <a:endParaRPr lang="es-CO" sz="1400"/>
          </a:p>
        </c:rich>
      </c:tx>
    </c:title>
    <c:plotArea>
      <c:layout>
        <c:manualLayout>
          <c:layoutTarget val="inner"/>
          <c:xMode val="edge"/>
          <c:yMode val="edge"/>
          <c:x val="0.24614924269969707"/>
          <c:y val="0.14174490406446669"/>
          <c:w val="0.53484988108507825"/>
          <c:h val="0.60394853749756872"/>
        </c:manualLayout>
      </c:layout>
      <c:barChart>
        <c:barDir val="col"/>
        <c:grouping val="clustered"/>
        <c:ser>
          <c:idx val="0"/>
          <c:order val="0"/>
          <c:tx>
            <c:strRef>
              <c:f>DATOS!$A$90</c:f>
              <c:strCache>
                <c:ptCount val="1"/>
                <c:pt idx="0">
                  <c:v>RECURSOS MIPYMES Y MICROPYMES</c:v>
                </c:pt>
              </c:strCache>
            </c:strRef>
          </c:tx>
          <c:spPr>
            <a:solidFill>
              <a:srgbClr val="008000"/>
            </a:solidFill>
            <a:ln w="12700">
              <a:solidFill>
                <a:srgbClr val="000000"/>
              </a:solidFill>
              <a:prstDash val="solid"/>
            </a:ln>
          </c:spPr>
          <c:dLbls>
            <c:dLbl>
              <c:idx val="0"/>
              <c:layout>
                <c:manualLayout>
                  <c:x val="2.7252081756245241E-2"/>
                  <c:y val="-4.5610050587651394E-3"/>
                </c:manualLayout>
              </c:layout>
              <c:showVal val="1"/>
            </c:dLbl>
            <c:dLbl>
              <c:idx val="1"/>
              <c:layout>
                <c:manualLayout>
                  <c:x val="-1.2112036336109008E-2"/>
                  <c:y val="-2.7366030352590828E-2"/>
                </c:manualLayout>
              </c:layout>
              <c:showVal val="1"/>
            </c:dLbl>
            <c:dLbl>
              <c:idx val="2"/>
              <c:layout>
                <c:manualLayout>
                  <c:x val="1.8168054504163523E-2"/>
                  <c:y val="4.5610050587651394E-3"/>
                </c:manualLayout>
              </c:layout>
              <c:showVal val="1"/>
            </c:dLbl>
            <c:dLbl>
              <c:idx val="3"/>
              <c:layout>
                <c:manualLayout>
                  <c:x val="2.7252081756245272E-2"/>
                  <c:y val="4.5610050587651394E-3"/>
                </c:manualLayout>
              </c:layout>
              <c:showVal val="1"/>
            </c:dLbl>
            <c:dLbl>
              <c:idx val="4"/>
              <c:layout>
                <c:manualLayout>
                  <c:x val="1.2112036336109008E-2"/>
                  <c:y val="4.5610050587652218E-3"/>
                </c:manualLayout>
              </c:layout>
              <c:showVal val="1"/>
            </c:dLbl>
            <c:dLbl>
              <c:idx val="5"/>
              <c:layout>
                <c:manualLayout>
                  <c:x val="-3.0280090840272603E-3"/>
                  <c:y val="2.7366030352590907E-2"/>
                </c:manualLayout>
              </c:layout>
              <c:showVal val="1"/>
            </c:dLbl>
            <c:dLbl>
              <c:idx val="6"/>
              <c:layout>
                <c:manualLayout>
                  <c:x val="3.0280090840272603E-3"/>
                  <c:y val="1.8244020235060627E-2"/>
                </c:manualLayout>
              </c:layout>
              <c:showVal val="1"/>
            </c:dLbl>
            <c:dLbl>
              <c:idx val="7"/>
              <c:layout>
                <c:manualLayout>
                  <c:x val="-1.8168054504163523E-2"/>
                  <c:y val="2.7366030352590828E-2"/>
                </c:manualLayout>
              </c:layout>
              <c:showVal val="1"/>
            </c:dLbl>
            <c:txPr>
              <a:bodyPr/>
              <a:lstStyle/>
              <a:p>
                <a:pPr>
                  <a:defRPr sz="700"/>
                </a:pPr>
                <a:endParaRPr lang="es-ES"/>
              </a:p>
            </c:txPr>
            <c:showVal val="1"/>
          </c:dLbls>
          <c:cat>
            <c:strRef>
              <c:f>DATOS!$B$89:$AC$89</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DATOS!$B$90:$AC$90</c:f>
              <c:numCache>
                <c:formatCode>[$$-240A]\ #,##0</c:formatCode>
                <c:ptCount val="8"/>
                <c:pt idx="0">
                  <c:v>174200000</c:v>
                </c:pt>
                <c:pt idx="1">
                  <c:v>261400000</c:v>
                </c:pt>
                <c:pt idx="2" formatCode="&quot;$&quot;\ #,##0">
                  <c:v>574940000</c:v>
                </c:pt>
                <c:pt idx="3" formatCode="&quot;$&quot;\ #,##0">
                  <c:v>221952000</c:v>
                </c:pt>
                <c:pt idx="4" formatCode="&quot;$&quot;\ #,##0">
                  <c:v>61000000</c:v>
                </c:pt>
                <c:pt idx="5" formatCode="&quot;$&quot;\ #,##0">
                  <c:v>0</c:v>
                </c:pt>
                <c:pt idx="6" formatCode="&quot;$&quot;\ #,##0">
                  <c:v>56100000</c:v>
                </c:pt>
                <c:pt idx="7" formatCode="&quot;$&quot;\ #,##0.00">
                  <c:v>1513480000</c:v>
                </c:pt>
              </c:numCache>
            </c:numRef>
          </c:val>
        </c:ser>
        <c:gapWidth val="75"/>
        <c:overlap val="40"/>
        <c:axId val="164849536"/>
        <c:axId val="164851072"/>
      </c:barChart>
      <c:lineChart>
        <c:grouping val="standard"/>
        <c:ser>
          <c:idx val="1"/>
          <c:order val="1"/>
          <c:tx>
            <c:strRef>
              <c:f>DATOS!$A$91</c:f>
              <c:strCache>
                <c:ptCount val="1"/>
                <c:pt idx="0">
                  <c:v>EXCELENTE</c:v>
                </c:pt>
              </c:strCache>
            </c:strRef>
          </c:tx>
          <c:spPr>
            <a:ln w="25400">
              <a:solidFill>
                <a:srgbClr val="92D050"/>
              </a:solidFill>
              <a:prstDash val="solid"/>
            </a:ln>
          </c:spPr>
          <c:marker>
            <c:symbol val="none"/>
          </c:marker>
          <c:cat>
            <c:strRef>
              <c:f>DATOS!$B$89:$AC$89</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DATOS!$B$91:$AC$91</c:f>
              <c:numCache>
                <c:formatCode>[$$-240A]\ #,##0.00</c:formatCode>
                <c:ptCount val="8"/>
                <c:pt idx="0">
                  <c:v>300000000</c:v>
                </c:pt>
                <c:pt idx="1">
                  <c:v>300000000</c:v>
                </c:pt>
                <c:pt idx="2">
                  <c:v>300000000</c:v>
                </c:pt>
                <c:pt idx="3">
                  <c:v>300000000</c:v>
                </c:pt>
                <c:pt idx="4">
                  <c:v>300000000</c:v>
                </c:pt>
                <c:pt idx="5">
                  <c:v>300000000</c:v>
                </c:pt>
                <c:pt idx="6">
                  <c:v>300000000</c:v>
                </c:pt>
                <c:pt idx="7">
                  <c:v>300000000</c:v>
                </c:pt>
              </c:numCache>
            </c:numRef>
          </c:val>
        </c:ser>
        <c:ser>
          <c:idx val="2"/>
          <c:order val="2"/>
          <c:tx>
            <c:strRef>
              <c:f>DATOS!$A$92</c:f>
              <c:strCache>
                <c:ptCount val="1"/>
                <c:pt idx="0">
                  <c:v>REGULAR</c:v>
                </c:pt>
              </c:strCache>
            </c:strRef>
          </c:tx>
          <c:spPr>
            <a:ln w="25400">
              <a:solidFill>
                <a:srgbClr val="00B0F0"/>
              </a:solidFill>
              <a:prstDash val="solid"/>
            </a:ln>
          </c:spPr>
          <c:marker>
            <c:symbol val="none"/>
          </c:marker>
          <c:cat>
            <c:strRef>
              <c:f>DATOS!$B$89:$AC$89</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DATOS!$B$92:$AC$92</c:f>
              <c:numCache>
                <c:formatCode>[$$-240A]\ #,##0.00</c:formatCode>
                <c:ptCount val="8"/>
                <c:pt idx="0">
                  <c:v>200000000</c:v>
                </c:pt>
                <c:pt idx="1">
                  <c:v>200000000</c:v>
                </c:pt>
                <c:pt idx="2">
                  <c:v>200000000</c:v>
                </c:pt>
                <c:pt idx="3">
                  <c:v>200000000</c:v>
                </c:pt>
                <c:pt idx="4">
                  <c:v>200000000</c:v>
                </c:pt>
                <c:pt idx="5">
                  <c:v>200000000</c:v>
                </c:pt>
                <c:pt idx="6">
                  <c:v>200000000</c:v>
                </c:pt>
                <c:pt idx="7">
                  <c:v>200000000</c:v>
                </c:pt>
              </c:numCache>
            </c:numRef>
          </c:val>
        </c:ser>
        <c:ser>
          <c:idx val="3"/>
          <c:order val="3"/>
          <c:tx>
            <c:strRef>
              <c:f>DATOS!$A$93</c:f>
              <c:strCache>
                <c:ptCount val="1"/>
                <c:pt idx="0">
                  <c:v>DEFICIENTE</c:v>
                </c:pt>
              </c:strCache>
            </c:strRef>
          </c:tx>
          <c:spPr>
            <a:ln w="25400">
              <a:solidFill>
                <a:srgbClr val="DD0806"/>
              </a:solidFill>
              <a:prstDash val="solid"/>
            </a:ln>
          </c:spPr>
          <c:marker>
            <c:symbol val="none"/>
          </c:marker>
          <c:cat>
            <c:strRef>
              <c:f>DATOS!$B$89:$AC$89</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DATOS!$B$93:$AC$93</c:f>
              <c:numCache>
                <c:formatCode>[$$-240A]\ #,##0.00</c:formatCode>
                <c:ptCount val="8"/>
                <c:pt idx="0">
                  <c:v>100000000</c:v>
                </c:pt>
                <c:pt idx="1">
                  <c:v>100000000</c:v>
                </c:pt>
                <c:pt idx="2">
                  <c:v>100000000</c:v>
                </c:pt>
                <c:pt idx="3">
                  <c:v>100000000</c:v>
                </c:pt>
                <c:pt idx="4">
                  <c:v>100000000</c:v>
                </c:pt>
                <c:pt idx="5">
                  <c:v>100000000</c:v>
                </c:pt>
                <c:pt idx="6">
                  <c:v>100000000</c:v>
                </c:pt>
                <c:pt idx="7">
                  <c:v>100000000</c:v>
                </c:pt>
              </c:numCache>
            </c:numRef>
          </c:val>
        </c:ser>
        <c:marker val="1"/>
        <c:axId val="164849536"/>
        <c:axId val="164851072"/>
      </c:lineChart>
      <c:catAx>
        <c:axId val="164849536"/>
        <c:scaling>
          <c:orientation val="minMax"/>
        </c:scaling>
        <c:axPos val="b"/>
        <c:numFmt formatCode="mmm/yy" sourceLinked="1"/>
        <c:majorTickMark val="none"/>
        <c:tickLblPos val="nextTo"/>
        <c:spPr>
          <a:ln w="3175">
            <a:solidFill>
              <a:srgbClr val="808080"/>
            </a:solidFill>
            <a:prstDash val="solid"/>
          </a:ln>
        </c:spPr>
        <c:txPr>
          <a:bodyPr/>
          <a:lstStyle/>
          <a:p>
            <a:pPr>
              <a:defRPr lang="es-CO" sz="800" b="1"/>
            </a:pPr>
            <a:endParaRPr lang="es-ES"/>
          </a:p>
        </c:txPr>
        <c:crossAx val="164851072"/>
        <c:crosses val="autoZero"/>
        <c:auto val="1"/>
        <c:lblAlgn val="ctr"/>
        <c:lblOffset val="100"/>
      </c:catAx>
      <c:valAx>
        <c:axId val="164851072"/>
        <c:scaling>
          <c:orientation val="minMax"/>
        </c:scaling>
        <c:axPos val="l"/>
        <c:majorGridlines/>
        <c:numFmt formatCode="[$$-240A]\ #,##0" sourceLinked="1"/>
        <c:majorTickMark val="none"/>
        <c:tickLblPos val="nextTo"/>
        <c:spPr>
          <a:ln w="3175">
            <a:solidFill>
              <a:srgbClr val="808080"/>
            </a:solidFill>
            <a:prstDash val="solid"/>
          </a:ln>
        </c:spPr>
        <c:txPr>
          <a:bodyPr/>
          <a:lstStyle/>
          <a:p>
            <a:pPr>
              <a:defRPr lang="es-CO"/>
            </a:pPr>
            <a:endParaRPr lang="es-ES"/>
          </a:p>
        </c:txPr>
        <c:crossAx val="164849536"/>
        <c:crosses val="autoZero"/>
        <c:crossBetween val="between"/>
      </c:valAx>
      <c:spPr>
        <a:solidFill>
          <a:srgbClr val="FFFFFF"/>
        </a:solidFill>
        <a:ln w="25400">
          <a:noFill/>
        </a:ln>
      </c:spPr>
    </c:plotArea>
    <c:legend>
      <c:legendPos val="r"/>
      <c:layout>
        <c:manualLayout>
          <c:xMode val="edge"/>
          <c:yMode val="edge"/>
          <c:x val="0.787055141952826"/>
          <c:y val="0.33953558194474276"/>
          <c:w val="0.19477680354300905"/>
          <c:h val="0.46220578823864111"/>
        </c:manualLayout>
      </c:layout>
      <c:spPr>
        <a:noFill/>
        <a:ln w="25400">
          <a:noFill/>
        </a:ln>
      </c:spPr>
      <c:txPr>
        <a:bodyPr/>
        <a:lstStyle/>
        <a:p>
          <a:pPr>
            <a:defRPr lang="es-CO" sz="600" b="1"/>
          </a:pPr>
          <a:endParaRPr lang="es-ES"/>
        </a:p>
      </c:txPr>
    </c:legend>
    <c:plotVisOnly val="1"/>
    <c:dispBlanksAs val="gap"/>
  </c:chart>
  <c:spPr>
    <a:solidFill>
      <a:srgbClr val="FFFFFF"/>
    </a:solidFill>
    <a:ln w="12700">
      <a:solidFill>
        <a:srgbClr val="000000"/>
      </a:solidFill>
      <a:prstDash val="solid"/>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200" b="1"/>
            </a:pPr>
            <a:r>
              <a:rPr lang="es-CO" sz="1200" b="1"/>
              <a:t>PARTICIPACION DE LOS CONVENIOS EN</a:t>
            </a:r>
            <a:r>
              <a:rPr lang="es-CO" sz="1200" b="1" baseline="0"/>
              <a:t> EL TOTAL DE LAS CAPTACIONES</a:t>
            </a:r>
            <a:endParaRPr lang="es-CO" sz="1200" b="1"/>
          </a:p>
        </c:rich>
      </c:tx>
    </c:title>
    <c:plotArea>
      <c:layout>
        <c:manualLayout>
          <c:layoutTarget val="inner"/>
          <c:xMode val="edge"/>
          <c:yMode val="edge"/>
          <c:x val="7.4170932067169876E-2"/>
          <c:y val="0.26632738984712356"/>
          <c:w val="0.61688024533151664"/>
          <c:h val="0.40657250567969438"/>
        </c:manualLayout>
      </c:layout>
      <c:barChart>
        <c:barDir val="col"/>
        <c:grouping val="clustered"/>
        <c:ser>
          <c:idx val="0"/>
          <c:order val="0"/>
          <c:tx>
            <c:strRef>
              <c:f>DATOS!$A$7</c:f>
              <c:strCache>
                <c:ptCount val="1"/>
                <c:pt idx="0">
                  <c:v>PARTICIPACION DE LOS CONVENIOS EN EL TOTAL DE CAPTACIONES </c:v>
                </c:pt>
              </c:strCache>
            </c:strRef>
          </c:tx>
          <c:spPr>
            <a:gradFill rotWithShape="0">
              <a:gsLst>
                <a:gs pos="0">
                  <a:srgbClr val="008000">
                    <a:gamma/>
                    <a:shade val="46275"/>
                    <a:invGamma/>
                  </a:srgbClr>
                </a:gs>
                <a:gs pos="100000">
                  <a:srgbClr val="008000"/>
                </a:gs>
              </a:gsLst>
              <a:lin ang="5400000" scaled="1"/>
            </a:gradFill>
            <a:ln w="12700">
              <a:solidFill>
                <a:srgbClr val="000000"/>
              </a:solidFill>
              <a:prstDash val="solid"/>
            </a:ln>
          </c:spPr>
          <c:dLbls>
            <c:txPr>
              <a:bodyPr/>
              <a:lstStyle/>
              <a:p>
                <a:pPr>
                  <a:defRPr sz="900"/>
                </a:pPr>
                <a:endParaRPr lang="es-ES"/>
              </a:p>
            </c:txPr>
            <c:showVal val="1"/>
          </c:dLbls>
          <c:cat>
            <c:strRef>
              <c:f>DATOS!$B$6:$M$6</c:f>
              <c:strCache>
                <c:ptCount val="6"/>
                <c:pt idx="0">
                  <c:v>JUL-SEP /13</c:v>
                </c:pt>
                <c:pt idx="1">
                  <c:v>SEP-DIC /13</c:v>
                </c:pt>
                <c:pt idx="2">
                  <c:v>ENE-MAR 2014</c:v>
                </c:pt>
                <c:pt idx="3">
                  <c:v>ABRIL-JUN/14</c:v>
                </c:pt>
                <c:pt idx="4">
                  <c:v>JUL-SEPT /14</c:v>
                </c:pt>
                <c:pt idx="5">
                  <c:v>OCT-DIC /14</c:v>
                </c:pt>
              </c:strCache>
            </c:strRef>
          </c:cat>
          <c:val>
            <c:numRef>
              <c:f>DATOS!$B$7:$M$7</c:f>
              <c:numCache>
                <c:formatCode>0.00%</c:formatCode>
                <c:ptCount val="6"/>
                <c:pt idx="0">
                  <c:v>0.30081505699606081</c:v>
                </c:pt>
                <c:pt idx="1">
                  <c:v>0.45692296733002019</c:v>
                </c:pt>
                <c:pt idx="2">
                  <c:v>0.53640875522786458</c:v>
                </c:pt>
                <c:pt idx="3">
                  <c:v>0.38924156100774226</c:v>
                </c:pt>
                <c:pt idx="4">
                  <c:v>0.36137938261727154</c:v>
                </c:pt>
                <c:pt idx="5">
                  <c:v>0.35250168850053321</c:v>
                </c:pt>
              </c:numCache>
            </c:numRef>
          </c:val>
        </c:ser>
        <c:gapWidth val="75"/>
        <c:overlap val="40"/>
        <c:axId val="164928128"/>
        <c:axId val="164938112"/>
      </c:barChart>
      <c:lineChart>
        <c:grouping val="standard"/>
        <c:ser>
          <c:idx val="1"/>
          <c:order val="1"/>
          <c:tx>
            <c:strRef>
              <c:f>DATOS!$A$8</c:f>
              <c:strCache>
                <c:ptCount val="1"/>
                <c:pt idx="0">
                  <c:v>EXCELENTE</c:v>
                </c:pt>
              </c:strCache>
            </c:strRef>
          </c:tx>
          <c:spPr>
            <a:ln w="25400">
              <a:solidFill>
                <a:srgbClr val="339966"/>
              </a:solidFill>
              <a:prstDash val="solid"/>
            </a:ln>
          </c:spPr>
          <c:marker>
            <c:symbol val="none"/>
          </c:marker>
          <c:cat>
            <c:strRef>
              <c:f>DATOS!$B$6:$M$6</c:f>
              <c:strCache>
                <c:ptCount val="6"/>
                <c:pt idx="0">
                  <c:v>JUL-SEP /13</c:v>
                </c:pt>
                <c:pt idx="1">
                  <c:v>SEP-DIC /13</c:v>
                </c:pt>
                <c:pt idx="2">
                  <c:v>ENE-MAR 2014</c:v>
                </c:pt>
                <c:pt idx="3">
                  <c:v>ABRIL-JUN/14</c:v>
                </c:pt>
                <c:pt idx="4">
                  <c:v>JUL-SEPT /14</c:v>
                </c:pt>
                <c:pt idx="5">
                  <c:v>OCT-DIC /14</c:v>
                </c:pt>
              </c:strCache>
            </c:strRef>
          </c:cat>
          <c:val>
            <c:numRef>
              <c:f>DATOS!$B$8:$M$8</c:f>
              <c:numCache>
                <c:formatCode>0%</c:formatCode>
                <c:ptCount val="6"/>
                <c:pt idx="0">
                  <c:v>0.30000000000000032</c:v>
                </c:pt>
                <c:pt idx="1">
                  <c:v>0.30000000000000032</c:v>
                </c:pt>
                <c:pt idx="2">
                  <c:v>0.30000000000000032</c:v>
                </c:pt>
                <c:pt idx="3">
                  <c:v>0.30000000000000032</c:v>
                </c:pt>
                <c:pt idx="4">
                  <c:v>0.30000000000000032</c:v>
                </c:pt>
                <c:pt idx="5">
                  <c:v>0.30000000000000032</c:v>
                </c:pt>
              </c:numCache>
            </c:numRef>
          </c:val>
        </c:ser>
        <c:ser>
          <c:idx val="2"/>
          <c:order val="2"/>
          <c:tx>
            <c:strRef>
              <c:f>DATOS!$A$9</c:f>
              <c:strCache>
                <c:ptCount val="1"/>
                <c:pt idx="0">
                  <c:v>REGULAR</c:v>
                </c:pt>
              </c:strCache>
            </c:strRef>
          </c:tx>
          <c:spPr>
            <a:ln w="25400">
              <a:solidFill>
                <a:srgbClr val="00FFFF"/>
              </a:solidFill>
              <a:prstDash val="solid"/>
            </a:ln>
          </c:spPr>
          <c:marker>
            <c:symbol val="none"/>
          </c:marker>
          <c:cat>
            <c:strRef>
              <c:f>DATOS!$B$6:$M$6</c:f>
              <c:strCache>
                <c:ptCount val="6"/>
                <c:pt idx="0">
                  <c:v>JUL-SEP /13</c:v>
                </c:pt>
                <c:pt idx="1">
                  <c:v>SEP-DIC /13</c:v>
                </c:pt>
                <c:pt idx="2">
                  <c:v>ENE-MAR 2014</c:v>
                </c:pt>
                <c:pt idx="3">
                  <c:v>ABRIL-JUN/14</c:v>
                </c:pt>
                <c:pt idx="4">
                  <c:v>JUL-SEPT /14</c:v>
                </c:pt>
                <c:pt idx="5">
                  <c:v>OCT-DIC /14</c:v>
                </c:pt>
              </c:strCache>
            </c:strRef>
          </c:cat>
          <c:val>
            <c:numRef>
              <c:f>DATOS!$B$9:$M$9</c:f>
              <c:numCache>
                <c:formatCode>0%</c:formatCode>
                <c:ptCount val="6"/>
                <c:pt idx="0">
                  <c:v>0.2</c:v>
                </c:pt>
                <c:pt idx="1">
                  <c:v>0.2</c:v>
                </c:pt>
                <c:pt idx="2">
                  <c:v>0.2</c:v>
                </c:pt>
                <c:pt idx="3">
                  <c:v>0.2</c:v>
                </c:pt>
                <c:pt idx="4">
                  <c:v>0.2</c:v>
                </c:pt>
                <c:pt idx="5">
                  <c:v>0.2</c:v>
                </c:pt>
              </c:numCache>
            </c:numRef>
          </c:val>
        </c:ser>
        <c:ser>
          <c:idx val="3"/>
          <c:order val="3"/>
          <c:tx>
            <c:strRef>
              <c:f>DATOS!$A$10</c:f>
              <c:strCache>
                <c:ptCount val="1"/>
                <c:pt idx="0">
                  <c:v>DEFICIENTE</c:v>
                </c:pt>
              </c:strCache>
            </c:strRef>
          </c:tx>
          <c:spPr>
            <a:ln w="25400">
              <a:solidFill>
                <a:srgbClr val="FF0000"/>
              </a:solidFill>
              <a:prstDash val="solid"/>
            </a:ln>
          </c:spPr>
          <c:marker>
            <c:symbol val="none"/>
          </c:marker>
          <c:cat>
            <c:strRef>
              <c:f>DATOS!$B$6:$M$6</c:f>
              <c:strCache>
                <c:ptCount val="6"/>
                <c:pt idx="0">
                  <c:v>JUL-SEP /13</c:v>
                </c:pt>
                <c:pt idx="1">
                  <c:v>SEP-DIC /13</c:v>
                </c:pt>
                <c:pt idx="2">
                  <c:v>ENE-MAR 2014</c:v>
                </c:pt>
                <c:pt idx="3">
                  <c:v>ABRIL-JUN/14</c:v>
                </c:pt>
                <c:pt idx="4">
                  <c:v>JUL-SEPT /14</c:v>
                </c:pt>
                <c:pt idx="5">
                  <c:v>OCT-DIC /14</c:v>
                </c:pt>
              </c:strCache>
            </c:strRef>
          </c:cat>
          <c:val>
            <c:numRef>
              <c:f>DATOS!$B$10:$M$10</c:f>
              <c:numCache>
                <c:formatCode>0%</c:formatCode>
                <c:ptCount val="6"/>
                <c:pt idx="0">
                  <c:v>0.15000000000000024</c:v>
                </c:pt>
                <c:pt idx="1">
                  <c:v>0.15000000000000024</c:v>
                </c:pt>
                <c:pt idx="2">
                  <c:v>0.15000000000000024</c:v>
                </c:pt>
                <c:pt idx="3">
                  <c:v>0.15000000000000024</c:v>
                </c:pt>
                <c:pt idx="4">
                  <c:v>0.15000000000000024</c:v>
                </c:pt>
                <c:pt idx="5">
                  <c:v>0.15000000000000024</c:v>
                </c:pt>
              </c:numCache>
            </c:numRef>
          </c:val>
        </c:ser>
        <c:marker val="1"/>
        <c:axId val="164928128"/>
        <c:axId val="164938112"/>
      </c:lineChart>
      <c:catAx>
        <c:axId val="164928128"/>
        <c:scaling>
          <c:orientation val="minMax"/>
        </c:scaling>
        <c:axPos val="b"/>
        <c:numFmt formatCode="General" sourceLinked="1"/>
        <c:majorTickMark val="none"/>
        <c:tickLblPos val="nextTo"/>
        <c:spPr>
          <a:ln w="3175">
            <a:solidFill>
              <a:srgbClr val="000000"/>
            </a:solidFill>
            <a:prstDash val="solid"/>
          </a:ln>
        </c:spPr>
        <c:txPr>
          <a:bodyPr rot="-5400000" vert="horz"/>
          <a:lstStyle/>
          <a:p>
            <a:pPr>
              <a:defRPr lang="es-CO" sz="700" b="1" i="0" u="none" strike="noStrike" baseline="0">
                <a:solidFill>
                  <a:srgbClr val="000000"/>
                </a:solidFill>
                <a:latin typeface="Arial"/>
                <a:ea typeface="Arial"/>
                <a:cs typeface="Arial"/>
              </a:defRPr>
            </a:pPr>
            <a:endParaRPr lang="es-ES"/>
          </a:p>
        </c:txPr>
        <c:crossAx val="164938112"/>
        <c:crosses val="autoZero"/>
        <c:auto val="1"/>
        <c:lblAlgn val="ctr"/>
        <c:lblOffset val="100"/>
        <c:tickLblSkip val="1"/>
        <c:tickMarkSkip val="1"/>
      </c:catAx>
      <c:valAx>
        <c:axId val="164938112"/>
        <c:scaling>
          <c:orientation val="minMax"/>
        </c:scaling>
        <c:axPos val="l"/>
        <c:majorGridlines/>
        <c:numFmt formatCode="0%" sourceLinked="0"/>
        <c:majorTickMark val="none"/>
        <c:tickLblPos val="nextTo"/>
        <c:spPr>
          <a:ln w="3175">
            <a:solidFill>
              <a:srgbClr val="000000"/>
            </a:solidFill>
            <a:prstDash val="solid"/>
          </a:ln>
        </c:spPr>
        <c:txPr>
          <a:bodyPr rot="0" vert="horz"/>
          <a:lstStyle/>
          <a:p>
            <a:pPr>
              <a:defRPr lang="es-CO" sz="875" b="0" i="0" u="none" strike="noStrike" baseline="0">
                <a:solidFill>
                  <a:srgbClr val="000000"/>
                </a:solidFill>
                <a:latin typeface="Arial"/>
                <a:ea typeface="Arial"/>
                <a:cs typeface="Arial"/>
              </a:defRPr>
            </a:pPr>
            <a:endParaRPr lang="es-ES"/>
          </a:p>
        </c:txPr>
        <c:crossAx val="164928128"/>
        <c:crosses val="autoZero"/>
        <c:crossBetween val="between"/>
      </c:valAx>
    </c:plotArea>
    <c:legend>
      <c:legendPos val="r"/>
      <c:layout>
        <c:manualLayout>
          <c:xMode val="edge"/>
          <c:yMode val="edge"/>
          <c:x val="0.74749520373923162"/>
          <c:y val="0.20643864365431389"/>
          <c:w val="0.23839378967563221"/>
          <c:h val="0.61944491020281223"/>
        </c:manualLayout>
      </c:layout>
      <c:spPr>
        <a:solidFill>
          <a:srgbClr val="FFFFFF"/>
        </a:solidFill>
        <a:ln w="25400">
          <a:noFill/>
        </a:ln>
      </c:spPr>
      <c:txPr>
        <a:bodyPr/>
        <a:lstStyle/>
        <a:p>
          <a:pPr>
            <a:defRPr lang="es-CO" sz="62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85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800" b="1"/>
            </a:pPr>
            <a:r>
              <a:rPr lang="es-CO" sz="1800" b="1"/>
              <a:t>SUSCRIPCION</a:t>
            </a:r>
            <a:r>
              <a:rPr lang="es-CO" sz="1800" b="1" baseline="0"/>
              <a:t> DE CONVENIOS</a:t>
            </a:r>
            <a:endParaRPr lang="es-CO" sz="1800" b="1"/>
          </a:p>
        </c:rich>
      </c:tx>
      <c:layout>
        <c:manualLayout>
          <c:xMode val="edge"/>
          <c:yMode val="edge"/>
          <c:x val="0.17540573773527654"/>
          <c:y val="7.4514106573391789E-2"/>
        </c:manualLayout>
      </c:layout>
    </c:title>
    <c:plotArea>
      <c:layout>
        <c:manualLayout>
          <c:layoutTarget val="inner"/>
          <c:xMode val="edge"/>
          <c:yMode val="edge"/>
          <c:x val="6.9204152249134954E-2"/>
          <c:y val="0.22619113360053247"/>
          <c:w val="0.55193405974770549"/>
          <c:h val="0.50595385147487992"/>
        </c:manualLayout>
      </c:layout>
      <c:lineChart>
        <c:grouping val="standard"/>
        <c:ser>
          <c:idx val="0"/>
          <c:order val="0"/>
          <c:tx>
            <c:strRef>
              <c:f>DATOS!$A$13</c:f>
              <c:strCache>
                <c:ptCount val="1"/>
                <c:pt idx="0">
                  <c:v>SUSCRIPCION DE CONVENIOS</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4.6085028999785185E-2"/>
                  <c:y val="-5.0354613652232101E-2"/>
                </c:manualLayout>
              </c:layout>
              <c:dLblPos val="r"/>
              <c:showVal val="1"/>
            </c:dLbl>
            <c:dLbl>
              <c:idx val="1"/>
              <c:layout>
                <c:manualLayout>
                  <c:x val="-3.4314005081443846E-2"/>
                  <c:y val="-7.2800560044689933E-2"/>
                </c:manualLayout>
              </c:layout>
              <c:dLblPos val="r"/>
              <c:showVal val="1"/>
            </c:dLbl>
            <c:dLbl>
              <c:idx val="2"/>
              <c:layout>
                <c:manualLayout>
                  <c:x val="-4.676391285990493E-2"/>
                  <c:y val="-5.9810771843241017E-2"/>
                </c:manualLayout>
              </c:layout>
              <c:dLblPos val="r"/>
              <c:showVal val="1"/>
            </c:dLbl>
            <c:dLbl>
              <c:idx val="3"/>
              <c:layout>
                <c:manualLayout>
                  <c:x val="-4.4886612356847183E-2"/>
                  <c:y val="-5.6031803213434386E-2"/>
                </c:manualLayout>
              </c:layout>
              <c:dLblPos val="r"/>
              <c:showVal val="1"/>
            </c:dLbl>
            <c:dLbl>
              <c:idx val="4"/>
              <c:layout>
                <c:manualLayout>
                  <c:x val="-5.1038153102834487E-2"/>
                  <c:y val="-4.5912902646636763E-2"/>
                </c:manualLayout>
              </c:layout>
              <c:dLblPos val="r"/>
              <c:showVal val="1"/>
            </c:dLbl>
            <c:dLbl>
              <c:idx val="5"/>
              <c:layout>
                <c:manualLayout>
                  <c:x val="-6.5840031241769598E-2"/>
                  <c:y val="-4.5317585644028796E-2"/>
                </c:manualLayout>
              </c:layout>
              <c:dLblPos val="r"/>
              <c:showVal val="1"/>
            </c:dLbl>
            <c:dLbl>
              <c:idx val="6"/>
              <c:layout>
                <c:manualLayout>
                  <c:x val="-1.3100168985726121E-2"/>
                  <c:y val="-8.0692575816315143E-2"/>
                </c:manualLayout>
              </c:layout>
              <c:dLblPos val="r"/>
              <c:showVal val="1"/>
            </c:dLbl>
            <c:dLbl>
              <c:idx val="7"/>
              <c:layout>
                <c:manualLayout>
                  <c:x val="-4.8989321540286908E-2"/>
                  <c:y val="-7.594213866465363E-2"/>
                </c:manualLayout>
              </c:layout>
              <c:dLblPos val="r"/>
              <c:showVal val="1"/>
            </c:dLbl>
            <c:dLbl>
              <c:idx val="8"/>
              <c:layout>
                <c:manualLayout>
                  <c:x val="-4.2771980492057916E-2"/>
                  <c:y val="-0.12478189466826382"/>
                </c:manualLayout>
              </c:layout>
              <c:dLblPos val="r"/>
              <c:showVal val="1"/>
            </c:dLbl>
            <c:dLbl>
              <c:idx val="9"/>
              <c:layout>
                <c:manualLayout>
                  <c:x val="-4.8879293337351838E-2"/>
                  <c:y val="-8.4160403169344797E-2"/>
                </c:manualLayout>
              </c:layout>
              <c:dLblPos val="r"/>
              <c:showVal val="1"/>
            </c:dLbl>
            <c:dLbl>
              <c:idx val="10"/>
              <c:layout>
                <c:manualLayout>
                  <c:x val="-2.997393305288891E-2"/>
                  <c:y val="-6.5759310838123933E-2"/>
                </c:manualLayout>
              </c:layout>
              <c:dLblPos val="r"/>
              <c:showVal val="1"/>
            </c:dLbl>
            <c:dLbl>
              <c:idx val="11"/>
              <c:layout>
                <c:manualLayout>
                  <c:x val="-5.727195915579042E-2"/>
                  <c:y val="-5.0448856322740751E-2"/>
                </c:manualLayout>
              </c:layout>
              <c:dLblPos val="r"/>
              <c:showVal val="1"/>
            </c:dLbl>
            <c:dLbl>
              <c:idx val="12"/>
              <c:layout>
                <c:manualLayout>
                  <c:x val="-1.7821702081760305E-2"/>
                  <c:y val="-3.7642194167069896E-2"/>
                </c:manualLayout>
              </c:layout>
              <c:dLblPos val="r"/>
              <c:showVal val="1"/>
            </c:dLbl>
            <c:dLbl>
              <c:idx val="13"/>
              <c:layout>
                <c:manualLayout>
                  <c:x val="-0.27604406754104338"/>
                  <c:y val="0.34821529777976906"/>
                </c:manualLayout>
              </c:layout>
              <c:dLblPos val="r"/>
              <c:showVal val="1"/>
            </c:dLbl>
            <c:dLbl>
              <c:idx val="14"/>
              <c:layout>
                <c:manualLayout>
                  <c:x val="-0.30015731796027473"/>
                  <c:y val="0.33928670040080089"/>
                </c:manualLayout>
              </c:layout>
              <c:dLblPos val="r"/>
              <c:showVal val="1"/>
            </c:dLbl>
            <c:dLbl>
              <c:idx val="15"/>
              <c:layout>
                <c:manualLayout>
                  <c:x val="-0.32946105957023658"/>
                  <c:y val="0.30059611175860435"/>
                </c:manualLayout>
              </c:layout>
              <c:dLblPos val="r"/>
              <c:showVal val="1"/>
            </c:dLbl>
            <c:dLbl>
              <c:idx val="16"/>
              <c:layout>
                <c:manualLayout>
                  <c:xMode val="edge"/>
                  <c:yMode val="edge"/>
                  <c:x val="0.67820069204152977"/>
                  <c:y val="0.28273891700066733"/>
                </c:manualLayout>
              </c:layout>
              <c:dLblPos val="r"/>
              <c:showVal val="1"/>
            </c:dLbl>
            <c:spPr>
              <a:noFill/>
              <a:ln w="25400">
                <a:noFill/>
              </a:ln>
            </c:spPr>
            <c:txPr>
              <a:bodyPr/>
              <a:lstStyle/>
              <a:p>
                <a:pPr>
                  <a:defRPr lang="es-CO" sz="900" b="1" i="0" u="none" strike="noStrike" baseline="0">
                    <a:solidFill>
                      <a:srgbClr val="000000"/>
                    </a:solidFill>
                    <a:latin typeface="Arial"/>
                    <a:ea typeface="Arial"/>
                    <a:cs typeface="Arial"/>
                  </a:defRPr>
                </a:pPr>
                <a:endParaRPr lang="es-ES"/>
              </a:p>
            </c:txPr>
            <c:showVal val="1"/>
            <c:extLst>
              <c:ext xmlns:c15="http://schemas.microsoft.com/office/drawing/2012/chart" uri="{CE6537A1-D6FC-4f65-9D91-7224C49458BB}">
                <c15:showLeaderLines val="0"/>
              </c:ext>
            </c:extLst>
          </c:dLbls>
          <c:cat>
            <c:strRef>
              <c:f>DATOS!$B$12:$M$12</c:f>
              <c:strCache>
                <c:ptCount val="6"/>
                <c:pt idx="0">
                  <c:v>JUL-SEP /13</c:v>
                </c:pt>
                <c:pt idx="1">
                  <c:v>SEP-DIC /13</c:v>
                </c:pt>
                <c:pt idx="2">
                  <c:v>ENE-MAR 2014</c:v>
                </c:pt>
                <c:pt idx="3">
                  <c:v>ABRIL-JUN/14</c:v>
                </c:pt>
                <c:pt idx="4">
                  <c:v>JUL-SEPT /14</c:v>
                </c:pt>
                <c:pt idx="5">
                  <c:v>OCT-DIC /14</c:v>
                </c:pt>
              </c:strCache>
            </c:strRef>
          </c:cat>
          <c:val>
            <c:numRef>
              <c:f>DATOS!$B$13:$M$13</c:f>
              <c:numCache>
                <c:formatCode>General</c:formatCode>
                <c:ptCount val="6"/>
                <c:pt idx="0">
                  <c:v>361</c:v>
                </c:pt>
                <c:pt idx="1">
                  <c:v>391</c:v>
                </c:pt>
                <c:pt idx="2">
                  <c:v>391</c:v>
                </c:pt>
                <c:pt idx="3">
                  <c:v>391</c:v>
                </c:pt>
                <c:pt idx="4">
                  <c:v>397</c:v>
                </c:pt>
                <c:pt idx="5">
                  <c:v>407</c:v>
                </c:pt>
              </c:numCache>
            </c:numRef>
          </c:val>
          <c:smooth val="1"/>
        </c:ser>
        <c:ser>
          <c:idx val="1"/>
          <c:order val="1"/>
          <c:tx>
            <c:strRef>
              <c:f>DATOS!$A$14</c:f>
              <c:strCache>
                <c:ptCount val="1"/>
                <c:pt idx="0">
                  <c:v>EXCELENTE</c:v>
                </c:pt>
              </c:strCache>
            </c:strRef>
          </c:tx>
          <c:spPr>
            <a:ln w="25400">
              <a:solidFill>
                <a:srgbClr val="008000"/>
              </a:solidFill>
              <a:prstDash val="solid"/>
            </a:ln>
          </c:spPr>
          <c:marker>
            <c:symbol val="none"/>
          </c:marker>
          <c:cat>
            <c:strRef>
              <c:f>DATOS!$B$12:$M$12</c:f>
              <c:strCache>
                <c:ptCount val="6"/>
                <c:pt idx="0">
                  <c:v>JUL-SEP /13</c:v>
                </c:pt>
                <c:pt idx="1">
                  <c:v>SEP-DIC /13</c:v>
                </c:pt>
                <c:pt idx="2">
                  <c:v>ENE-MAR 2014</c:v>
                </c:pt>
                <c:pt idx="3">
                  <c:v>ABRIL-JUN/14</c:v>
                </c:pt>
                <c:pt idx="4">
                  <c:v>JUL-SEPT /14</c:v>
                </c:pt>
                <c:pt idx="5">
                  <c:v>OCT-DIC /14</c:v>
                </c:pt>
              </c:strCache>
            </c:strRef>
          </c:cat>
          <c:val>
            <c:numRef>
              <c:f>DATOS!$B$14:$M$14</c:f>
              <c:numCache>
                <c:formatCode>General</c:formatCode>
                <c:ptCount val="6"/>
                <c:pt idx="0">
                  <c:v>213</c:v>
                </c:pt>
                <c:pt idx="1">
                  <c:v>217</c:v>
                </c:pt>
                <c:pt idx="2">
                  <c:v>217</c:v>
                </c:pt>
                <c:pt idx="3">
                  <c:v>217</c:v>
                </c:pt>
                <c:pt idx="4">
                  <c:v>217</c:v>
                </c:pt>
                <c:pt idx="5">
                  <c:v>217</c:v>
                </c:pt>
              </c:numCache>
            </c:numRef>
          </c:val>
        </c:ser>
        <c:ser>
          <c:idx val="2"/>
          <c:order val="2"/>
          <c:tx>
            <c:strRef>
              <c:f>DATOS!$A$15</c:f>
              <c:strCache>
                <c:ptCount val="1"/>
                <c:pt idx="0">
                  <c:v>REGULAR</c:v>
                </c:pt>
              </c:strCache>
            </c:strRef>
          </c:tx>
          <c:spPr>
            <a:ln w="25400">
              <a:solidFill>
                <a:srgbClr val="0000FF"/>
              </a:solidFill>
              <a:prstDash val="solid"/>
            </a:ln>
          </c:spPr>
          <c:marker>
            <c:symbol val="none"/>
          </c:marker>
          <c:cat>
            <c:strRef>
              <c:f>DATOS!$B$12:$M$12</c:f>
              <c:strCache>
                <c:ptCount val="6"/>
                <c:pt idx="0">
                  <c:v>JUL-SEP /13</c:v>
                </c:pt>
                <c:pt idx="1">
                  <c:v>SEP-DIC /13</c:v>
                </c:pt>
                <c:pt idx="2">
                  <c:v>ENE-MAR 2014</c:v>
                </c:pt>
                <c:pt idx="3">
                  <c:v>ABRIL-JUN/14</c:v>
                </c:pt>
                <c:pt idx="4">
                  <c:v>JUL-SEPT /14</c:v>
                </c:pt>
                <c:pt idx="5">
                  <c:v>OCT-DIC /14</c:v>
                </c:pt>
              </c:strCache>
            </c:strRef>
          </c:cat>
          <c:val>
            <c:numRef>
              <c:f>DATOS!$B$15:$M$15</c:f>
              <c:numCache>
                <c:formatCode>0</c:formatCode>
                <c:ptCount val="6"/>
                <c:pt idx="0">
                  <c:v>159.75</c:v>
                </c:pt>
                <c:pt idx="1">
                  <c:v>162.75</c:v>
                </c:pt>
                <c:pt idx="2">
                  <c:v>162.75</c:v>
                </c:pt>
                <c:pt idx="3">
                  <c:v>162.75</c:v>
                </c:pt>
                <c:pt idx="4">
                  <c:v>162.75</c:v>
                </c:pt>
                <c:pt idx="5">
                  <c:v>162.75</c:v>
                </c:pt>
              </c:numCache>
            </c:numRef>
          </c:val>
        </c:ser>
        <c:ser>
          <c:idx val="3"/>
          <c:order val="3"/>
          <c:tx>
            <c:strRef>
              <c:f>DATOS!$A$16</c:f>
              <c:strCache>
                <c:ptCount val="1"/>
                <c:pt idx="0">
                  <c:v>DEFICIENTE</c:v>
                </c:pt>
              </c:strCache>
            </c:strRef>
          </c:tx>
          <c:spPr>
            <a:ln w="25400">
              <a:solidFill>
                <a:srgbClr val="FF0000"/>
              </a:solidFill>
              <a:prstDash val="solid"/>
            </a:ln>
          </c:spPr>
          <c:marker>
            <c:symbol val="none"/>
          </c:marker>
          <c:cat>
            <c:strRef>
              <c:f>DATOS!$B$12:$M$12</c:f>
              <c:strCache>
                <c:ptCount val="6"/>
                <c:pt idx="0">
                  <c:v>JUL-SEP /13</c:v>
                </c:pt>
                <c:pt idx="1">
                  <c:v>SEP-DIC /13</c:v>
                </c:pt>
                <c:pt idx="2">
                  <c:v>ENE-MAR 2014</c:v>
                </c:pt>
                <c:pt idx="3">
                  <c:v>ABRIL-JUN/14</c:v>
                </c:pt>
                <c:pt idx="4">
                  <c:v>JUL-SEPT /14</c:v>
                </c:pt>
                <c:pt idx="5">
                  <c:v>OCT-DIC /14</c:v>
                </c:pt>
              </c:strCache>
            </c:strRef>
          </c:cat>
          <c:val>
            <c:numRef>
              <c:f>DATOS!$B$16:$M$16</c:f>
              <c:numCache>
                <c:formatCode>0</c:formatCode>
                <c:ptCount val="6"/>
                <c:pt idx="0">
                  <c:v>127.8</c:v>
                </c:pt>
                <c:pt idx="1">
                  <c:v>130.19999999999999</c:v>
                </c:pt>
                <c:pt idx="2">
                  <c:v>130.19999999999999</c:v>
                </c:pt>
                <c:pt idx="3">
                  <c:v>130.19999999999999</c:v>
                </c:pt>
                <c:pt idx="4">
                  <c:v>130.19999999999999</c:v>
                </c:pt>
                <c:pt idx="5">
                  <c:v>130.19999999999999</c:v>
                </c:pt>
              </c:numCache>
            </c:numRef>
          </c:val>
        </c:ser>
        <c:marker val="1"/>
        <c:axId val="164723712"/>
        <c:axId val="161481472"/>
      </c:lineChart>
      <c:catAx>
        <c:axId val="164723712"/>
        <c:scaling>
          <c:orientation val="minMax"/>
        </c:scaling>
        <c:axPos val="b"/>
        <c:numFmt formatCode="General" sourceLinked="1"/>
        <c:tickLblPos val="nextTo"/>
        <c:spPr>
          <a:ln w="3175">
            <a:solidFill>
              <a:srgbClr val="000000"/>
            </a:solidFill>
            <a:prstDash val="solid"/>
          </a:ln>
        </c:spPr>
        <c:txPr>
          <a:bodyPr rot="-5400000" vert="horz"/>
          <a:lstStyle/>
          <a:p>
            <a:pPr>
              <a:defRPr lang="es-CO" sz="775" b="1" i="0" u="none" strike="noStrike" baseline="0">
                <a:solidFill>
                  <a:srgbClr val="000000"/>
                </a:solidFill>
                <a:latin typeface="Arial"/>
                <a:ea typeface="Arial"/>
                <a:cs typeface="Arial"/>
              </a:defRPr>
            </a:pPr>
            <a:endParaRPr lang="es-ES"/>
          </a:p>
        </c:txPr>
        <c:crossAx val="161481472"/>
        <c:crossesAt val="0"/>
        <c:auto val="1"/>
        <c:lblAlgn val="ctr"/>
        <c:lblOffset val="100"/>
        <c:tickLblSkip val="1"/>
        <c:tickMarkSkip val="1"/>
      </c:catAx>
      <c:valAx>
        <c:axId val="161481472"/>
        <c:scaling>
          <c:orientation val="minMax"/>
        </c:scaling>
        <c:axPos val="l"/>
        <c:numFmt formatCode="General" sourceLinked="0"/>
        <c:tickLblPos val="nextTo"/>
        <c:spPr>
          <a:ln w="3175">
            <a:solidFill>
              <a:srgbClr val="000000"/>
            </a:solidFill>
            <a:prstDash val="solid"/>
          </a:ln>
        </c:spPr>
        <c:txPr>
          <a:bodyPr rot="0" vert="horz"/>
          <a:lstStyle/>
          <a:p>
            <a:pPr>
              <a:defRPr lang="es-CO" sz="900" b="1" i="0" u="none" strike="noStrike" baseline="0">
                <a:solidFill>
                  <a:srgbClr val="000000"/>
                </a:solidFill>
                <a:latin typeface="Arial"/>
                <a:ea typeface="Arial"/>
                <a:cs typeface="Arial"/>
              </a:defRPr>
            </a:pPr>
            <a:endParaRPr lang="es-ES"/>
          </a:p>
        </c:txPr>
        <c:crossAx val="164723712"/>
        <c:crosses val="autoZero"/>
        <c:crossBetween val="between"/>
      </c:valAx>
      <c:spPr>
        <a:noFill/>
        <a:ln w="25400">
          <a:noFill/>
        </a:ln>
      </c:spPr>
    </c:plotArea>
    <c:legend>
      <c:legendPos val="r"/>
      <c:layout>
        <c:manualLayout>
          <c:xMode val="edge"/>
          <c:yMode val="edge"/>
          <c:x val="0.69488485270479672"/>
          <c:y val="0.2520673572937514"/>
          <c:w val="0.28446677833612538"/>
          <c:h val="0.53249454268318352"/>
        </c:manualLayout>
      </c:layout>
      <c:spPr>
        <a:solidFill>
          <a:srgbClr val="FFFFFF"/>
        </a:solidFill>
        <a:ln w="25400">
          <a:noFill/>
        </a:ln>
      </c:spPr>
      <c:txPr>
        <a:bodyPr/>
        <a:lstStyle/>
        <a:p>
          <a:pPr>
            <a:defRPr lang="es-CO" sz="7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875"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600" b="1"/>
            </a:pPr>
            <a:r>
              <a:rPr lang="es-CO" sz="1600" b="1"/>
              <a:t>EFICIENCIA EN PAGO DE CONVENIOS</a:t>
            </a:r>
          </a:p>
        </c:rich>
      </c:tx>
      <c:layout>
        <c:manualLayout>
          <c:xMode val="edge"/>
          <c:yMode val="edge"/>
          <c:x val="0.14694261523988711"/>
          <c:y val="5.0573028249217507E-2"/>
        </c:manualLayout>
      </c:layout>
    </c:title>
    <c:plotArea>
      <c:layout>
        <c:manualLayout>
          <c:layoutTarget val="inner"/>
          <c:xMode val="edge"/>
          <c:yMode val="edge"/>
          <c:x val="0.11434952333686405"/>
          <c:y val="0.17285058117735291"/>
          <c:w val="0.61821634654558255"/>
          <c:h val="0.58333333333333337"/>
        </c:manualLayout>
      </c:layout>
      <c:barChart>
        <c:barDir val="col"/>
        <c:grouping val="clustered"/>
        <c:ser>
          <c:idx val="0"/>
          <c:order val="0"/>
          <c:tx>
            <c:strRef>
              <c:f>DATOS!$A$19</c:f>
              <c:strCache>
                <c:ptCount val="1"/>
                <c:pt idx="0">
                  <c:v>EFICIENCIA PAGO DE CONVENIOS</c:v>
                </c:pt>
              </c:strCache>
            </c:strRef>
          </c:tx>
          <c:spPr>
            <a:solidFill>
              <a:srgbClr val="008000"/>
            </a:solidFill>
            <a:ln w="12700">
              <a:solidFill>
                <a:srgbClr val="000000"/>
              </a:solidFill>
              <a:prstDash val="solid"/>
            </a:ln>
          </c:spPr>
          <c:dLbls>
            <c:dLbl>
              <c:idx val="0"/>
              <c:layout>
                <c:manualLayout>
                  <c:x val="6.4027303501455564E-3"/>
                  <c:y val="2.8081244103735211E-3"/>
                </c:manualLayout>
              </c:layout>
              <c:dLblPos val="outEnd"/>
              <c:showVal val="1"/>
              <c:extLst>
                <c:ext xmlns:c15="http://schemas.microsoft.com/office/drawing/2012/chart" uri="{CE6537A1-D6FC-4f65-9D91-7224C49458BB}"/>
              </c:extLst>
            </c:dLbl>
            <c:dLbl>
              <c:idx val="1"/>
              <c:layout>
                <c:manualLayout>
                  <c:x val="5.3214420633921457E-3"/>
                  <c:y val="1.6145719827595781E-3"/>
                </c:manualLayout>
              </c:layout>
              <c:dLblPos val="outEnd"/>
              <c:showVal val="1"/>
              <c:extLst>
                <c:ext xmlns:c15="http://schemas.microsoft.com/office/drawing/2012/chart" uri="{CE6537A1-D6FC-4f65-9D91-7224C49458BB}"/>
              </c:extLst>
            </c:dLbl>
            <c:dLbl>
              <c:idx val="2"/>
              <c:layout>
                <c:manualLayout>
                  <c:x val="4.227746461137337E-4"/>
                  <c:y val="1.8990045403501812E-2"/>
                </c:manualLayout>
              </c:layout>
              <c:dLblPos val="outEnd"/>
              <c:showVal val="1"/>
            </c:dLbl>
            <c:dLbl>
              <c:idx val="3"/>
              <c:layout>
                <c:manualLayout>
                  <c:x val="1.7962829904963755E-4"/>
                  <c:y val="9.4611746119778097E-3"/>
                </c:manualLayout>
              </c:layout>
              <c:dLblPos val="outEnd"/>
              <c:showVal val="1"/>
              <c:extLst>
                <c:ext xmlns:c15="http://schemas.microsoft.com/office/drawing/2012/chart" uri="{CE6537A1-D6FC-4f65-9D91-7224C49458BB}">
                  <c15:layout/>
                </c:ext>
              </c:extLst>
            </c:dLbl>
            <c:dLbl>
              <c:idx val="4"/>
              <c:layout>
                <c:manualLayout>
                  <c:x val="4.5053369975037224E-3"/>
                  <c:y val="7.3694712674969281E-3"/>
                </c:manualLayout>
              </c:layout>
              <c:dLblPos val="outEnd"/>
              <c:showVal val="1"/>
              <c:extLst>
                <c:ext xmlns:c15="http://schemas.microsoft.com/office/drawing/2012/chart" uri="{CE6537A1-D6FC-4f65-9D91-7224C49458BB}">
                  <c15:layout/>
                </c:ext>
              </c:extLst>
            </c:dLbl>
            <c:dLbl>
              <c:idx val="5"/>
              <c:layout>
                <c:manualLayout>
                  <c:x val="3.5892326723505853E-3"/>
                  <c:y val="6.0774516696339553E-3"/>
                </c:manualLayout>
              </c:layout>
              <c:dLblPos val="outEnd"/>
              <c:showVal val="1"/>
              <c:extLst>
                <c:ext xmlns:c15="http://schemas.microsoft.com/office/drawing/2012/chart" uri="{CE6537A1-D6FC-4f65-9D91-7224C49458BB}">
                  <c15:layout/>
                </c:ext>
              </c:extLst>
            </c:dLbl>
            <c:dLbl>
              <c:idx val="6"/>
              <c:layout>
                <c:manualLayout>
                  <c:x val="4.9582858945771933E-3"/>
                  <c:y val="-7.23764451126655E-2"/>
                </c:manualLayout>
              </c:layout>
              <c:dLblPos val="outEnd"/>
              <c:showVal val="1"/>
              <c:extLst>
                <c:ext xmlns:c15="http://schemas.microsoft.com/office/drawing/2012/chart" uri="{CE6537A1-D6FC-4f65-9D91-7224C49458BB}">
                  <c15:layout/>
                </c:ext>
              </c:extLst>
            </c:dLbl>
            <c:dLbl>
              <c:idx val="7"/>
              <c:layout>
                <c:manualLayout>
                  <c:x val="1.5372040432662161E-2"/>
                  <c:y val="-1.9470565636335532E-2"/>
                </c:manualLayout>
              </c:layout>
              <c:dLblPos val="outEnd"/>
              <c:showVal val="1"/>
              <c:extLst>
                <c:ext xmlns:c15="http://schemas.microsoft.com/office/drawing/2012/chart" uri="{CE6537A1-D6FC-4f65-9D91-7224C49458BB}">
                  <c15:layout/>
                </c:ext>
              </c:extLst>
            </c:dLbl>
            <c:dLbl>
              <c:idx val="8"/>
              <c:layout>
                <c:manualLayout>
                  <c:x val="7.6585928489043414E-3"/>
                  <c:y val="-4.4900637420322978E-2"/>
                </c:manualLayout>
              </c:layout>
              <c:dLblPos val="outEnd"/>
              <c:showVal val="1"/>
              <c:extLst>
                <c:ext xmlns:c15="http://schemas.microsoft.com/office/drawing/2012/chart" uri="{CE6537A1-D6FC-4f65-9D91-7224C49458BB}">
                  <c15:layout/>
                </c:ext>
              </c:extLst>
            </c:dLbl>
            <c:dLbl>
              <c:idx val="9"/>
              <c:layout>
                <c:manualLayout>
                  <c:x val="-0.43427665727938758"/>
                  <c:y val="0.37202489079035328"/>
                </c:manualLayout>
              </c:layout>
              <c:dLblPos val="outEnd"/>
              <c:showVal val="1"/>
              <c:extLst>
                <c:ext xmlns:c15="http://schemas.microsoft.com/office/drawing/2012/chart" uri="{CE6537A1-D6FC-4f65-9D91-7224C49458BB}"/>
              </c:extLst>
            </c:dLbl>
            <c:dLbl>
              <c:idx val="10"/>
              <c:layout>
                <c:manualLayout>
                  <c:x val="-0.47831563000933608"/>
                  <c:y val="0.35416769603241288"/>
                </c:manualLayout>
              </c:layout>
              <c:dLblPos val="outEnd"/>
              <c:showVal val="1"/>
              <c:extLst>
                <c:ext xmlns:c15="http://schemas.microsoft.com/office/drawing/2012/chart" uri="{CE6537A1-D6FC-4f65-9D91-7224C49458BB}"/>
              </c:extLst>
            </c:dLbl>
            <c:dLbl>
              <c:idx val="11"/>
              <c:layout>
                <c:manualLayout>
                  <c:x val="-0.45169532009190694"/>
                  <c:y val="0.38988208554829029"/>
                </c:manualLayout>
              </c:layout>
              <c:dLblPos val="outEnd"/>
              <c:showVal val="1"/>
              <c:extLst>
                <c:ext xmlns:c15="http://schemas.microsoft.com/office/drawing/2012/chart" uri="{CE6537A1-D6FC-4f65-9D91-7224C49458BB}"/>
              </c:extLst>
            </c:dLbl>
            <c:dLbl>
              <c:idx val="12"/>
              <c:layout>
                <c:manualLayout>
                  <c:xMode val="edge"/>
                  <c:yMode val="edge"/>
                  <c:x val="0.54325259515570856"/>
                  <c:y val="0.33035810302183355"/>
                </c:manualLayout>
              </c:layout>
              <c:dLblPos val="outEnd"/>
              <c:showVal val="1"/>
              <c:extLst>
                <c:ext xmlns:c15="http://schemas.microsoft.com/office/drawing/2012/chart" uri="{CE6537A1-D6FC-4f65-9D91-7224C49458BB}"/>
              </c:extLst>
            </c:dLbl>
            <c:dLbl>
              <c:idx val="13"/>
              <c:layout>
                <c:manualLayout>
                  <c:xMode val="edge"/>
                  <c:yMode val="edge"/>
                  <c:x val="0.57958477508650519"/>
                  <c:y val="0.34821529777976906"/>
                </c:manualLayout>
              </c:layout>
              <c:dLblPos val="outEnd"/>
              <c:showVal val="1"/>
              <c:extLst>
                <c:ext xmlns:c15="http://schemas.microsoft.com/office/drawing/2012/chart" uri="{CE6537A1-D6FC-4f65-9D91-7224C49458BB}"/>
              </c:extLst>
            </c:dLbl>
            <c:dLbl>
              <c:idx val="14"/>
              <c:layout>
                <c:manualLayout>
                  <c:xMode val="edge"/>
                  <c:yMode val="edge"/>
                  <c:x val="0.61245674740484424"/>
                  <c:y val="0.33928670040080089"/>
                </c:manualLayout>
              </c:layout>
              <c:dLblPos val="outEnd"/>
              <c:showVal val="1"/>
              <c:extLst>
                <c:ext xmlns:c15="http://schemas.microsoft.com/office/drawing/2012/chart" uri="{CE6537A1-D6FC-4f65-9D91-7224C49458BB}"/>
              </c:extLst>
            </c:dLbl>
            <c:dLbl>
              <c:idx val="15"/>
              <c:layout>
                <c:manualLayout>
                  <c:xMode val="edge"/>
                  <c:yMode val="edge"/>
                  <c:x val="0.64013840830450475"/>
                  <c:y val="0.30059611175860435"/>
                </c:manualLayout>
              </c:layout>
              <c:dLblPos val="outEnd"/>
              <c:showVal val="1"/>
              <c:extLst>
                <c:ext xmlns:c15="http://schemas.microsoft.com/office/drawing/2012/chart" uri="{CE6537A1-D6FC-4f65-9D91-7224C49458BB}"/>
              </c:extLst>
            </c:dLbl>
            <c:dLbl>
              <c:idx val="16"/>
              <c:layout>
                <c:manualLayout>
                  <c:xMode val="edge"/>
                  <c:yMode val="edge"/>
                  <c:x val="0.67820069204152977"/>
                  <c:y val="0.28273891700066733"/>
                </c:manualLayout>
              </c:layout>
              <c:dLblPos val="outEnd"/>
              <c:showVal val="1"/>
              <c:extLst>
                <c:ext xmlns:c15="http://schemas.microsoft.com/office/drawing/2012/chart" uri="{CE6537A1-D6FC-4f65-9D91-7224C49458BB}"/>
              </c:extLst>
            </c:dLbl>
            <c:spPr>
              <a:noFill/>
              <a:ln w="25400">
                <a:noFill/>
              </a:ln>
            </c:spPr>
            <c:txPr>
              <a:bodyPr/>
              <a:lstStyle/>
              <a:p>
                <a:pPr>
                  <a:defRPr lang="es-CO" sz="900" b="1" i="0" u="none" strike="noStrike" baseline="0">
                    <a:solidFill>
                      <a:srgbClr val="000000"/>
                    </a:solidFill>
                    <a:latin typeface="Arial"/>
                    <a:ea typeface="Arial"/>
                    <a:cs typeface="Arial"/>
                  </a:defRPr>
                </a:pPr>
                <a:endParaRPr lang="es-ES"/>
              </a:p>
            </c:txPr>
            <c:showVal val="1"/>
            <c:extLst>
              <c:ext xmlns:c15="http://schemas.microsoft.com/office/drawing/2012/chart" uri="{CE6537A1-D6FC-4f65-9D91-7224C49458BB}">
                <c15:showLeaderLines val="0"/>
              </c:ext>
            </c:extLst>
          </c:dLbls>
          <c:cat>
            <c:strRef>
              <c:f>DATOS!$B$18:$M$18</c:f>
              <c:strCache>
                <c:ptCount val="6"/>
                <c:pt idx="0">
                  <c:v>JUL-SEP /13</c:v>
                </c:pt>
                <c:pt idx="1">
                  <c:v>SEP-DIC /13</c:v>
                </c:pt>
                <c:pt idx="2">
                  <c:v>ENE-MAR 2014</c:v>
                </c:pt>
                <c:pt idx="3">
                  <c:v>ABRIL-JUN/14</c:v>
                </c:pt>
                <c:pt idx="4">
                  <c:v>JUL-SEPT /14</c:v>
                </c:pt>
                <c:pt idx="5">
                  <c:v>OCT-DIC /14</c:v>
                </c:pt>
              </c:strCache>
            </c:strRef>
          </c:cat>
          <c:val>
            <c:numRef>
              <c:f>DATOS!$B$19:$M$19</c:f>
              <c:numCache>
                <c:formatCode>General</c:formatCode>
                <c:ptCount val="6"/>
                <c:pt idx="0">
                  <c:v>181</c:v>
                </c:pt>
                <c:pt idx="1">
                  <c:v>172</c:v>
                </c:pt>
                <c:pt idx="2">
                  <c:v>122</c:v>
                </c:pt>
                <c:pt idx="3">
                  <c:v>83</c:v>
                </c:pt>
                <c:pt idx="4">
                  <c:v>100</c:v>
                </c:pt>
                <c:pt idx="5">
                  <c:v>124</c:v>
                </c:pt>
              </c:numCache>
            </c:numRef>
          </c:val>
        </c:ser>
        <c:gapWidth val="60"/>
        <c:axId val="165089280"/>
        <c:axId val="165090816"/>
      </c:barChart>
      <c:lineChart>
        <c:grouping val="standard"/>
        <c:ser>
          <c:idx val="1"/>
          <c:order val="1"/>
          <c:tx>
            <c:strRef>
              <c:f>DATOS!$A$20</c:f>
              <c:strCache>
                <c:ptCount val="1"/>
                <c:pt idx="0">
                  <c:v>EXCELENTE</c:v>
                </c:pt>
              </c:strCache>
            </c:strRef>
          </c:tx>
          <c:spPr>
            <a:ln w="25400">
              <a:solidFill>
                <a:srgbClr val="008000"/>
              </a:solidFill>
              <a:prstDash val="solid"/>
            </a:ln>
          </c:spPr>
          <c:marker>
            <c:symbol val="none"/>
          </c:marker>
          <c:cat>
            <c:strRef>
              <c:f>DATOS!$B$18:$M$18</c:f>
              <c:strCache>
                <c:ptCount val="6"/>
                <c:pt idx="0">
                  <c:v>JUL-SEP /13</c:v>
                </c:pt>
                <c:pt idx="1">
                  <c:v>SEP-DIC /13</c:v>
                </c:pt>
                <c:pt idx="2">
                  <c:v>ENE-MAR 2014</c:v>
                </c:pt>
                <c:pt idx="3">
                  <c:v>ABRIL-JUN/14</c:v>
                </c:pt>
                <c:pt idx="4">
                  <c:v>JUL-SEPT /14</c:v>
                </c:pt>
                <c:pt idx="5">
                  <c:v>OCT-DIC /14</c:v>
                </c:pt>
              </c:strCache>
            </c:strRef>
          </c:cat>
          <c:val>
            <c:numRef>
              <c:f>DATOS!$B$20:$M$20</c:f>
              <c:numCache>
                <c:formatCode>General</c:formatCode>
                <c:ptCount val="6"/>
                <c:pt idx="0">
                  <c:v>100</c:v>
                </c:pt>
                <c:pt idx="1">
                  <c:v>100</c:v>
                </c:pt>
                <c:pt idx="2">
                  <c:v>100</c:v>
                </c:pt>
                <c:pt idx="3">
                  <c:v>100</c:v>
                </c:pt>
                <c:pt idx="4">
                  <c:v>100</c:v>
                </c:pt>
                <c:pt idx="5">
                  <c:v>100</c:v>
                </c:pt>
              </c:numCache>
            </c:numRef>
          </c:val>
        </c:ser>
        <c:ser>
          <c:idx val="2"/>
          <c:order val="2"/>
          <c:tx>
            <c:strRef>
              <c:f>DATOS!$A$21</c:f>
              <c:strCache>
                <c:ptCount val="1"/>
                <c:pt idx="0">
                  <c:v>REGULAR</c:v>
                </c:pt>
              </c:strCache>
            </c:strRef>
          </c:tx>
          <c:spPr>
            <a:ln w="25400">
              <a:solidFill>
                <a:srgbClr val="3366FF"/>
              </a:solidFill>
              <a:prstDash val="solid"/>
            </a:ln>
          </c:spPr>
          <c:marker>
            <c:symbol val="none"/>
          </c:marker>
          <c:cat>
            <c:strRef>
              <c:f>DATOS!$B$18:$M$18</c:f>
              <c:strCache>
                <c:ptCount val="6"/>
                <c:pt idx="0">
                  <c:v>JUL-SEP /13</c:v>
                </c:pt>
                <c:pt idx="1">
                  <c:v>SEP-DIC /13</c:v>
                </c:pt>
                <c:pt idx="2">
                  <c:v>ENE-MAR 2014</c:v>
                </c:pt>
                <c:pt idx="3">
                  <c:v>ABRIL-JUN/14</c:v>
                </c:pt>
                <c:pt idx="4">
                  <c:v>JUL-SEPT /14</c:v>
                </c:pt>
                <c:pt idx="5">
                  <c:v>OCT-DIC /14</c:v>
                </c:pt>
              </c:strCache>
            </c:strRef>
          </c:cat>
          <c:val>
            <c:numRef>
              <c:f>DATOS!$B$21:$M$21</c:f>
              <c:numCache>
                <c:formatCode>0</c:formatCode>
                <c:ptCount val="6"/>
                <c:pt idx="0">
                  <c:v>70</c:v>
                </c:pt>
                <c:pt idx="1">
                  <c:v>70</c:v>
                </c:pt>
                <c:pt idx="2">
                  <c:v>70</c:v>
                </c:pt>
                <c:pt idx="3">
                  <c:v>70</c:v>
                </c:pt>
                <c:pt idx="4">
                  <c:v>70</c:v>
                </c:pt>
                <c:pt idx="5">
                  <c:v>70</c:v>
                </c:pt>
              </c:numCache>
            </c:numRef>
          </c:val>
        </c:ser>
        <c:ser>
          <c:idx val="3"/>
          <c:order val="3"/>
          <c:tx>
            <c:strRef>
              <c:f>DATOS!$A$22</c:f>
              <c:strCache>
                <c:ptCount val="1"/>
                <c:pt idx="0">
                  <c:v>DEFICIENTE</c:v>
                </c:pt>
              </c:strCache>
            </c:strRef>
          </c:tx>
          <c:spPr>
            <a:ln w="25400">
              <a:solidFill>
                <a:srgbClr val="FF0000"/>
              </a:solidFill>
              <a:prstDash val="solid"/>
            </a:ln>
          </c:spPr>
          <c:marker>
            <c:symbol val="none"/>
          </c:marker>
          <c:cat>
            <c:strRef>
              <c:f>DATOS!$B$18:$M$18</c:f>
              <c:strCache>
                <c:ptCount val="6"/>
                <c:pt idx="0">
                  <c:v>JUL-SEP /13</c:v>
                </c:pt>
                <c:pt idx="1">
                  <c:v>SEP-DIC /13</c:v>
                </c:pt>
                <c:pt idx="2">
                  <c:v>ENE-MAR 2014</c:v>
                </c:pt>
                <c:pt idx="3">
                  <c:v>ABRIL-JUN/14</c:v>
                </c:pt>
                <c:pt idx="4">
                  <c:v>JUL-SEPT /14</c:v>
                </c:pt>
                <c:pt idx="5">
                  <c:v>OCT-DIC /14</c:v>
                </c:pt>
              </c:strCache>
            </c:strRef>
          </c:cat>
          <c:val>
            <c:numRef>
              <c:f>DATOS!$B$22:$M$22</c:f>
              <c:numCache>
                <c:formatCode>0</c:formatCode>
                <c:ptCount val="6"/>
                <c:pt idx="0">
                  <c:v>50</c:v>
                </c:pt>
                <c:pt idx="1">
                  <c:v>50</c:v>
                </c:pt>
                <c:pt idx="2">
                  <c:v>50</c:v>
                </c:pt>
                <c:pt idx="3">
                  <c:v>50</c:v>
                </c:pt>
                <c:pt idx="4">
                  <c:v>50</c:v>
                </c:pt>
                <c:pt idx="5">
                  <c:v>50</c:v>
                </c:pt>
              </c:numCache>
            </c:numRef>
          </c:val>
        </c:ser>
        <c:marker val="1"/>
        <c:axId val="165089280"/>
        <c:axId val="165090816"/>
      </c:lineChart>
      <c:catAx>
        <c:axId val="165089280"/>
        <c:scaling>
          <c:orientation val="minMax"/>
        </c:scaling>
        <c:axPos val="b"/>
        <c:numFmt formatCode="General" sourceLinked="1"/>
        <c:tickLblPos val="nextTo"/>
        <c:spPr>
          <a:ln w="3175">
            <a:solidFill>
              <a:srgbClr val="000000"/>
            </a:solidFill>
            <a:prstDash val="solid"/>
          </a:ln>
        </c:spPr>
        <c:txPr>
          <a:bodyPr rot="-5400000" vert="horz"/>
          <a:lstStyle/>
          <a:p>
            <a:pPr>
              <a:defRPr lang="es-CO" sz="775" b="1" i="0" u="none" strike="noStrike" baseline="0">
                <a:solidFill>
                  <a:srgbClr val="000000"/>
                </a:solidFill>
                <a:latin typeface="Arial"/>
                <a:ea typeface="Arial"/>
                <a:cs typeface="Arial"/>
              </a:defRPr>
            </a:pPr>
            <a:endParaRPr lang="es-ES"/>
          </a:p>
        </c:txPr>
        <c:crossAx val="165090816"/>
        <c:crossesAt val="0"/>
        <c:auto val="1"/>
        <c:lblAlgn val="ctr"/>
        <c:lblOffset val="100"/>
        <c:tickLblSkip val="1"/>
        <c:tickMarkSkip val="1"/>
      </c:catAx>
      <c:valAx>
        <c:axId val="165090816"/>
        <c:scaling>
          <c:orientation val="minMax"/>
        </c:scaling>
        <c:axPos val="l"/>
        <c:numFmt formatCode="General" sourceLinked="0"/>
        <c:tickLblPos val="nextTo"/>
        <c:spPr>
          <a:ln w="3175">
            <a:solidFill>
              <a:srgbClr val="000000"/>
            </a:solidFill>
            <a:prstDash val="solid"/>
          </a:ln>
        </c:spPr>
        <c:txPr>
          <a:bodyPr rot="0" vert="horz"/>
          <a:lstStyle/>
          <a:p>
            <a:pPr>
              <a:defRPr lang="es-CO" sz="900" b="1" i="0" u="none" strike="noStrike" baseline="0">
                <a:solidFill>
                  <a:srgbClr val="000000"/>
                </a:solidFill>
                <a:latin typeface="Arial"/>
                <a:ea typeface="Arial"/>
                <a:cs typeface="Arial"/>
              </a:defRPr>
            </a:pPr>
            <a:endParaRPr lang="es-ES"/>
          </a:p>
        </c:txPr>
        <c:crossAx val="165089280"/>
        <c:crosses val="autoZero"/>
        <c:crossBetween val="between"/>
      </c:valAx>
      <c:spPr>
        <a:noFill/>
        <a:ln w="25400">
          <a:noFill/>
        </a:ln>
      </c:spPr>
    </c:plotArea>
    <c:legend>
      <c:legendPos val="r"/>
      <c:layout>
        <c:manualLayout>
          <c:xMode val="edge"/>
          <c:yMode val="edge"/>
          <c:x val="0.76184898041590965"/>
          <c:y val="0.23511904761904764"/>
          <c:w val="0.20736684837472241"/>
          <c:h val="0.57165198100237469"/>
        </c:manualLayout>
      </c:layout>
      <c:spPr>
        <a:solidFill>
          <a:srgbClr val="FFFFFF"/>
        </a:solidFill>
        <a:ln w="3175">
          <a:solidFill>
            <a:srgbClr val="000000"/>
          </a:solidFill>
          <a:prstDash val="solid"/>
        </a:ln>
      </c:spPr>
      <c:txPr>
        <a:bodyPr/>
        <a:lstStyle/>
        <a:p>
          <a:pPr>
            <a:defRPr lang="es-CO" sz="43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12700">
      <a:solidFill>
        <a:srgbClr val="000000"/>
      </a:solidFill>
      <a:prstDash val="solid"/>
    </a:ln>
    <a:effectLst>
      <a:outerShdw dist="35921" dir="2700000" algn="br">
        <a:srgbClr val="000000"/>
      </a:outerShdw>
    </a:effectLst>
  </c:spPr>
  <c:txPr>
    <a:bodyPr/>
    <a:lstStyle/>
    <a:p>
      <a:pPr>
        <a:defRPr sz="1875"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 EFICIENCIA</a:t>
            </a:r>
            <a:r>
              <a:rPr lang="es-CO" sz="1400" b="1" baseline="0"/>
              <a:t> ENTREGA DE EXTRACTOS </a:t>
            </a:r>
            <a:endParaRPr lang="es-CO" sz="1400" b="1"/>
          </a:p>
        </c:rich>
      </c:tx>
    </c:title>
    <c:plotArea>
      <c:layout>
        <c:manualLayout>
          <c:layoutTarget val="inner"/>
          <c:xMode val="edge"/>
          <c:yMode val="edge"/>
          <c:x val="0.11659192825112147"/>
          <c:y val="7.1895654283006413E-2"/>
          <c:w val="0.60576399701449912"/>
          <c:h val="0.63158177582013897"/>
        </c:manualLayout>
      </c:layout>
      <c:barChart>
        <c:barDir val="col"/>
        <c:grouping val="clustered"/>
        <c:ser>
          <c:idx val="1"/>
          <c:order val="0"/>
          <c:tx>
            <c:strRef>
              <c:f>DATOS!$A$5</c:f>
              <c:strCache>
                <c:ptCount val="1"/>
                <c:pt idx="0">
                  <c:v>% EFICACIA ENTREGA DE EXTRACTOS</c:v>
                </c:pt>
              </c:strCache>
            </c:strRef>
          </c:tx>
          <c:spPr>
            <a:solidFill>
              <a:srgbClr val="006600"/>
            </a:solidFill>
            <a:ln w="25400">
              <a:solidFill>
                <a:schemeClr val="tx1"/>
              </a:solidFill>
              <a:prstDash val="solid"/>
            </a:ln>
          </c:spPr>
          <c:dLbls>
            <c:spPr>
              <a:noFill/>
              <a:ln w="25400">
                <a:noFill/>
              </a:ln>
            </c:spPr>
            <c:txPr>
              <a:bodyPr/>
              <a:lstStyle/>
              <a:p>
                <a:pPr>
                  <a:defRPr lang="es-CO" sz="800" b="1" i="0" u="none" strike="noStrike" baseline="0">
                    <a:solidFill>
                      <a:srgbClr val="000000"/>
                    </a:solidFill>
                    <a:latin typeface="Arial"/>
                    <a:ea typeface="Arial"/>
                    <a:cs typeface="Arial"/>
                  </a:defRPr>
                </a:pPr>
                <a:endParaRPr lang="es-ES"/>
              </a:p>
            </c:txPr>
            <c:showVal val="1"/>
          </c:dLbls>
          <c:cat>
            <c:strRef>
              <c:f>DATOS!$B$4:$AC$4</c:f>
              <c:strCache>
                <c:ptCount val="4"/>
                <c:pt idx="0">
                  <c:v>ENE-MAR 2014</c:v>
                </c:pt>
                <c:pt idx="1">
                  <c:v>ABR-JUN 2014</c:v>
                </c:pt>
                <c:pt idx="2">
                  <c:v>JUL-SEP 2014</c:v>
                </c:pt>
                <c:pt idx="3">
                  <c:v>OCT-DIC 2014</c:v>
                </c:pt>
              </c:strCache>
            </c:strRef>
          </c:cat>
          <c:val>
            <c:numRef>
              <c:f>DATOS!$B$5:$AC$5</c:f>
              <c:numCache>
                <c:formatCode>0%</c:formatCode>
                <c:ptCount val="4"/>
                <c:pt idx="0">
                  <c:v>1</c:v>
                </c:pt>
                <c:pt idx="1">
                  <c:v>1</c:v>
                </c:pt>
                <c:pt idx="2">
                  <c:v>1</c:v>
                </c:pt>
                <c:pt idx="3">
                  <c:v>1</c:v>
                </c:pt>
              </c:numCache>
            </c:numRef>
          </c:val>
        </c:ser>
        <c:gapWidth val="92"/>
        <c:axId val="165143296"/>
        <c:axId val="165144832"/>
      </c:barChart>
      <c:lineChart>
        <c:grouping val="standard"/>
        <c:ser>
          <c:idx val="0"/>
          <c:order val="1"/>
          <c:tx>
            <c:strRef>
              <c:f>DATOS!$A$6</c:f>
              <c:strCache>
                <c:ptCount val="1"/>
                <c:pt idx="0">
                  <c:v>EXCELENTE</c:v>
                </c:pt>
              </c:strCache>
            </c:strRef>
          </c:tx>
          <c:spPr>
            <a:ln>
              <a:solidFill>
                <a:srgbClr val="92D050"/>
              </a:solidFill>
            </a:ln>
          </c:spPr>
          <c:marker>
            <c:symbol val="none"/>
          </c:marker>
          <c:cat>
            <c:strRef>
              <c:f>DATOS!$B$4:$AC$4</c:f>
              <c:strCache>
                <c:ptCount val="4"/>
                <c:pt idx="0">
                  <c:v>ENE-MAR 2014</c:v>
                </c:pt>
                <c:pt idx="1">
                  <c:v>ABR-JUN 2014</c:v>
                </c:pt>
                <c:pt idx="2">
                  <c:v>JUL-SEP 2014</c:v>
                </c:pt>
                <c:pt idx="3">
                  <c:v>OCT-DIC 2014</c:v>
                </c:pt>
              </c:strCache>
            </c:strRef>
          </c:cat>
          <c:val>
            <c:numRef>
              <c:f>DATOS!$B$6:$AC$6</c:f>
              <c:numCache>
                <c:formatCode>0%</c:formatCode>
                <c:ptCount val="4"/>
                <c:pt idx="0">
                  <c:v>1</c:v>
                </c:pt>
                <c:pt idx="1">
                  <c:v>1</c:v>
                </c:pt>
                <c:pt idx="2">
                  <c:v>1</c:v>
                </c:pt>
                <c:pt idx="3">
                  <c:v>1</c:v>
                </c:pt>
              </c:numCache>
            </c:numRef>
          </c:val>
        </c:ser>
        <c:ser>
          <c:idx val="2"/>
          <c:order val="2"/>
          <c:tx>
            <c:strRef>
              <c:f>DATOS!$A$7</c:f>
              <c:strCache>
                <c:ptCount val="1"/>
                <c:pt idx="0">
                  <c:v>REGULAR</c:v>
                </c:pt>
              </c:strCache>
            </c:strRef>
          </c:tx>
          <c:spPr>
            <a:ln>
              <a:solidFill>
                <a:srgbClr val="00B0F0"/>
              </a:solidFill>
            </a:ln>
          </c:spPr>
          <c:marker>
            <c:symbol val="none"/>
          </c:marker>
          <c:cat>
            <c:strRef>
              <c:f>DATOS!$B$4:$AC$4</c:f>
              <c:strCache>
                <c:ptCount val="4"/>
                <c:pt idx="0">
                  <c:v>ENE-MAR 2014</c:v>
                </c:pt>
                <c:pt idx="1">
                  <c:v>ABR-JUN 2014</c:v>
                </c:pt>
                <c:pt idx="2">
                  <c:v>JUL-SEP 2014</c:v>
                </c:pt>
                <c:pt idx="3">
                  <c:v>OCT-DIC 2014</c:v>
                </c:pt>
              </c:strCache>
            </c:strRef>
          </c:cat>
          <c:val>
            <c:numRef>
              <c:f>DATOS!$B$7:$AC$7</c:f>
              <c:numCache>
                <c:formatCode>0%</c:formatCode>
                <c:ptCount val="4"/>
                <c:pt idx="0">
                  <c:v>0.8</c:v>
                </c:pt>
                <c:pt idx="1">
                  <c:v>0.8</c:v>
                </c:pt>
                <c:pt idx="2">
                  <c:v>0.8</c:v>
                </c:pt>
                <c:pt idx="3">
                  <c:v>0.8</c:v>
                </c:pt>
              </c:numCache>
            </c:numRef>
          </c:val>
        </c:ser>
        <c:ser>
          <c:idx val="3"/>
          <c:order val="3"/>
          <c:tx>
            <c:strRef>
              <c:f>DATOS!$A$8</c:f>
              <c:strCache>
                <c:ptCount val="1"/>
                <c:pt idx="0">
                  <c:v>DEFICIENTE</c:v>
                </c:pt>
              </c:strCache>
            </c:strRef>
          </c:tx>
          <c:spPr>
            <a:ln>
              <a:solidFill>
                <a:srgbClr val="FF0000"/>
              </a:solidFill>
            </a:ln>
          </c:spPr>
          <c:marker>
            <c:symbol val="none"/>
          </c:marker>
          <c:cat>
            <c:strRef>
              <c:f>DATOS!$B$4:$AC$4</c:f>
              <c:strCache>
                <c:ptCount val="4"/>
                <c:pt idx="0">
                  <c:v>ENE-MAR 2014</c:v>
                </c:pt>
                <c:pt idx="1">
                  <c:v>ABR-JUN 2014</c:v>
                </c:pt>
                <c:pt idx="2">
                  <c:v>JUL-SEP 2014</c:v>
                </c:pt>
                <c:pt idx="3">
                  <c:v>OCT-DIC 2014</c:v>
                </c:pt>
              </c:strCache>
            </c:strRef>
          </c:cat>
          <c:val>
            <c:numRef>
              <c:f>DATOS!$B$8:$AC$8</c:f>
              <c:numCache>
                <c:formatCode>0%</c:formatCode>
                <c:ptCount val="4"/>
                <c:pt idx="0">
                  <c:v>0.70000000000000062</c:v>
                </c:pt>
                <c:pt idx="1">
                  <c:v>0.70000000000000062</c:v>
                </c:pt>
                <c:pt idx="2">
                  <c:v>0.70000000000000062</c:v>
                </c:pt>
                <c:pt idx="3">
                  <c:v>0.70000000000000062</c:v>
                </c:pt>
              </c:numCache>
            </c:numRef>
          </c:val>
        </c:ser>
        <c:marker val="1"/>
        <c:axId val="165143296"/>
        <c:axId val="165144832"/>
      </c:lineChart>
      <c:catAx>
        <c:axId val="165143296"/>
        <c:scaling>
          <c:orientation val="minMax"/>
        </c:scaling>
        <c:axPos val="b"/>
        <c:numFmt formatCode="mmm\-yy" sourceLinked="1"/>
        <c:tickLblPos val="nextTo"/>
        <c:spPr>
          <a:ln w="3175">
            <a:solidFill>
              <a:srgbClr val="000000"/>
            </a:solidFill>
            <a:prstDash val="solid"/>
          </a:ln>
        </c:spPr>
        <c:txPr>
          <a:bodyPr rot="-5400000" vert="horz"/>
          <a:lstStyle/>
          <a:p>
            <a:pPr>
              <a:defRPr lang="es-CO" sz="700" b="1" i="0" u="none" strike="noStrike" baseline="0">
                <a:solidFill>
                  <a:srgbClr val="000000"/>
                </a:solidFill>
                <a:latin typeface="Arial"/>
                <a:ea typeface="Arial"/>
                <a:cs typeface="Arial"/>
              </a:defRPr>
            </a:pPr>
            <a:endParaRPr lang="es-ES"/>
          </a:p>
        </c:txPr>
        <c:crossAx val="165144832"/>
        <c:crosses val="autoZero"/>
        <c:auto val="1"/>
        <c:lblAlgn val="ctr"/>
        <c:lblOffset val="100"/>
        <c:tickLblSkip val="1"/>
        <c:tickMarkSkip val="1"/>
      </c:catAx>
      <c:valAx>
        <c:axId val="165144832"/>
        <c:scaling>
          <c:orientation val="minMax"/>
          <c:max val="1.4"/>
          <c:min val="0.60000000000000164"/>
        </c:scaling>
        <c:axPos val="l"/>
        <c:numFmt formatCode="0%" sourceLinked="0"/>
        <c:tickLblPos val="nextTo"/>
        <c:spPr>
          <a:ln w="3175">
            <a:solidFill>
              <a:srgbClr val="000000"/>
            </a:solidFill>
            <a:prstDash val="solid"/>
          </a:ln>
        </c:spPr>
        <c:txPr>
          <a:bodyPr rot="0" vert="horz"/>
          <a:lstStyle/>
          <a:p>
            <a:pPr>
              <a:defRPr lang="es-CO" sz="900" b="0" i="0" u="none" strike="noStrike" baseline="0">
                <a:solidFill>
                  <a:srgbClr val="000000"/>
                </a:solidFill>
                <a:latin typeface="Arial"/>
                <a:ea typeface="Arial"/>
                <a:cs typeface="Arial"/>
              </a:defRPr>
            </a:pPr>
            <a:endParaRPr lang="es-ES"/>
          </a:p>
        </c:txPr>
        <c:crossAx val="165143296"/>
        <c:crosses val="autoZero"/>
        <c:crossBetween val="between"/>
        <c:minorUnit val="0.1"/>
      </c:valAx>
      <c:spPr>
        <a:noFill/>
        <a:ln w="25400">
          <a:noFill/>
        </a:ln>
      </c:spPr>
    </c:plotArea>
    <c:legend>
      <c:legendPos val="r"/>
      <c:layout>
        <c:manualLayout>
          <c:xMode val="edge"/>
          <c:yMode val="edge"/>
          <c:x val="0.73869280464235765"/>
          <c:y val="0.19482024941678797"/>
          <c:w val="0.2130812462001572"/>
          <c:h val="0.62226276962427052"/>
        </c:manualLayout>
      </c:layout>
      <c:spPr>
        <a:solidFill>
          <a:srgbClr val="FFFFFF"/>
        </a:solidFill>
        <a:ln w="3175">
          <a:solidFill>
            <a:srgbClr val="000000"/>
          </a:solidFill>
          <a:prstDash val="solid"/>
        </a:ln>
      </c:spPr>
      <c:txPr>
        <a:bodyPr/>
        <a:lstStyle/>
        <a:p>
          <a:pPr>
            <a:defRPr lang="es-CO"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50"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200" b="1"/>
            </a:pPr>
            <a:r>
              <a:rPr lang="es-CO" sz="1200" b="1"/>
              <a:t>QUEJAS POR INFORMACION NO OPORTUNA</a:t>
            </a:r>
            <a:r>
              <a:rPr lang="es-CO" sz="1200" b="1" baseline="0"/>
              <a:t> O INCOMPLETA</a:t>
            </a:r>
            <a:endParaRPr lang="es-CO" sz="1200" b="1"/>
          </a:p>
        </c:rich>
      </c:tx>
    </c:title>
    <c:plotArea>
      <c:layout>
        <c:manualLayout>
          <c:layoutTarget val="inner"/>
          <c:xMode val="edge"/>
          <c:yMode val="edge"/>
          <c:x val="4.8837264758885522E-2"/>
          <c:y val="0.159609374378713"/>
          <c:w val="0.5768426095027096"/>
          <c:h val="0.55048947489801003"/>
        </c:manualLayout>
      </c:layout>
      <c:lineChart>
        <c:grouping val="standard"/>
        <c:ser>
          <c:idx val="0"/>
          <c:order val="0"/>
          <c:tx>
            <c:strRef>
              <c:f>DATOS!$A$11</c:f>
              <c:strCache>
                <c:ptCount val="1"/>
                <c:pt idx="0">
                  <c:v>QUEJAS POR INFORMACION NO OPORTUNA O INCOMPLETA</c:v>
                </c:pt>
              </c:strCache>
            </c:strRef>
          </c:tx>
          <c:spPr>
            <a:ln w="38100">
              <a:solidFill>
                <a:srgbClr val="000080"/>
              </a:solidFill>
              <a:prstDash val="solid"/>
            </a:ln>
          </c:spPr>
          <c:marker>
            <c:symbol val="none"/>
          </c:marker>
          <c:dLbls>
            <c:dLbl>
              <c:idx val="0"/>
              <c:layout>
                <c:manualLayout>
                  <c:x val="-1.9364110808654723E-2"/>
                  <c:y val="-3.8530974801454405E-2"/>
                </c:manualLayout>
              </c:layout>
              <c:dLblPos val="r"/>
              <c:showVal val="1"/>
            </c:dLbl>
            <c:dLbl>
              <c:idx val="1"/>
              <c:layout>
                <c:manualLayout>
                  <c:x val="-3.6316690112111812E-2"/>
                  <c:y val="-4.0740106625530709E-2"/>
                </c:manualLayout>
              </c:layout>
              <c:dLblPos val="r"/>
              <c:showVal val="1"/>
            </c:dLbl>
            <c:dLbl>
              <c:idx val="2"/>
              <c:layout>
                <c:manualLayout>
                  <c:x val="-4.4734883777578907E-2"/>
                  <c:y val="-2.991956468304751E-2"/>
                </c:manualLayout>
              </c:layout>
              <c:dLblPos val="r"/>
              <c:showVal val="1"/>
            </c:dLbl>
            <c:dLbl>
              <c:idx val="3"/>
              <c:layout>
                <c:manualLayout>
                  <c:x val="-3.2991212525348923E-2"/>
                  <c:y val="-3.4225269742250909E-2"/>
                </c:manualLayout>
              </c:layout>
              <c:dLblPos val="r"/>
              <c:showVal val="1"/>
            </c:dLbl>
            <c:dLbl>
              <c:idx val="4"/>
              <c:layout>
                <c:manualLayout>
                  <c:x val="-3.7569468549610012E-2"/>
                  <c:y val="-2.5501640066789212E-2"/>
                </c:manualLayout>
              </c:layout>
              <c:dLblPos val="r"/>
              <c:showVal val="1"/>
            </c:dLbl>
            <c:dLbl>
              <c:idx val="5"/>
              <c:layout>
                <c:manualLayout>
                  <c:x val="-4.8313450377867509E-2"/>
                  <c:y val="-3.2016815981964035E-2"/>
                </c:manualLayout>
              </c:layout>
              <c:dLblPos val="r"/>
              <c:showVal val="1"/>
            </c:dLbl>
            <c:dLbl>
              <c:idx val="6"/>
              <c:layout>
                <c:manualLayout>
                  <c:x val="-4.2010096765746907E-2"/>
                  <c:y val="-2.2356441182204111E-2"/>
                </c:manualLayout>
              </c:layout>
              <c:dLblPos val="r"/>
              <c:showVal val="1"/>
            </c:dLbl>
            <c:dLbl>
              <c:idx val="7"/>
              <c:layout>
                <c:manualLayout>
                  <c:x val="-5.6637375084494755E-2"/>
                  <c:y val="-2.4565573006280504E-2"/>
                </c:manualLayout>
              </c:layout>
              <c:dLblPos val="r"/>
              <c:showVal val="1"/>
            </c:dLbl>
            <c:dLbl>
              <c:idx val="8"/>
              <c:layout>
                <c:manualLayout>
                  <c:x val="-4.1031843177375266E-2"/>
                  <c:y val="-3.0967851300610989E-2"/>
                </c:manualLayout>
              </c:layout>
              <c:dLblPos val="r"/>
              <c:showVal val="1"/>
            </c:dLbl>
            <c:dLbl>
              <c:idx val="9"/>
              <c:layout>
                <c:manualLayout>
                  <c:x val="-3.5539641071548216E-2"/>
                  <c:y val="-3.0256223354211999E-2"/>
                </c:manualLayout>
              </c:layout>
              <c:dLblPos val="r"/>
              <c:showVal val="1"/>
            </c:dLbl>
            <c:dLbl>
              <c:idx val="10"/>
              <c:layout>
                <c:manualLayout>
                  <c:x val="-4.470443514746316E-2"/>
                  <c:y val="-3.2016815981964035E-2"/>
                </c:manualLayout>
              </c:layout>
              <c:dLblPos val="r"/>
              <c:showVal val="1"/>
            </c:dLbl>
            <c:dLbl>
              <c:idx val="11"/>
              <c:layout>
                <c:manualLayout>
                  <c:x val="-4.1516341779783306E-2"/>
                  <c:y val="-2.9207936736648506E-2"/>
                </c:manualLayout>
              </c:layout>
              <c:dLblPos val="r"/>
              <c:showVal val="1"/>
            </c:dLbl>
            <c:dLbl>
              <c:idx val="12"/>
              <c:layout>
                <c:manualLayout>
                  <c:x val="-4.8377027117550021E-2"/>
                  <c:y val="-3.0855631743556204E-2"/>
                </c:manualLayout>
              </c:layout>
              <c:dLblPos val="r"/>
              <c:showVal val="1"/>
            </c:dLbl>
            <c:dLbl>
              <c:idx val="13"/>
              <c:layout>
                <c:manualLayout>
                  <c:x val="-4.4378025832617934E-2"/>
                  <c:y val="-2.5052761838569998E-2"/>
                </c:manualLayout>
              </c:layout>
              <c:dLblPos val="r"/>
              <c:showVal val="1"/>
            </c:dLbl>
            <c:dLbl>
              <c:idx val="14"/>
              <c:layout>
                <c:manualLayout>
                  <c:x val="-5.0492354348977933E-2"/>
                  <c:y val="-3.9687412593339882E-2"/>
                </c:manualLayout>
              </c:layout>
              <c:dLblPos val="r"/>
              <c:showVal val="1"/>
            </c:dLbl>
            <c:dLbl>
              <c:idx val="15"/>
              <c:layout>
                <c:manualLayout>
                  <c:x val="-2.7869022172692402E-2"/>
                  <c:y val="-3.1076002474933064E-2"/>
                </c:manualLayout>
              </c:layout>
              <c:dLblPos val="r"/>
              <c:showVal val="1"/>
            </c:dLbl>
            <c:dLbl>
              <c:idx val="16"/>
              <c:layout>
                <c:manualLayout>
                  <c:x val="-0.33125926012998952"/>
                  <c:y val="-0.37439787543834352"/>
                </c:manualLayout>
              </c:layout>
              <c:dLblPos val="r"/>
              <c:showVal val="1"/>
            </c:dLbl>
            <c:dLbl>
              <c:idx val="17"/>
              <c:layout>
                <c:manualLayout>
                  <c:x val="-0.31556156043709038"/>
                  <c:y val="-0.43954455885822402"/>
                </c:manualLayout>
              </c:layout>
              <c:dLblPos val="r"/>
              <c:showVal val="1"/>
            </c:dLbl>
            <c:spPr>
              <a:noFill/>
              <a:ln w="25400">
                <a:noFill/>
              </a:ln>
            </c:spPr>
            <c:txPr>
              <a:bodyPr/>
              <a:lstStyle/>
              <a:p>
                <a:pPr>
                  <a:defRPr lang="es-CO" sz="800" b="1" i="0" u="none" strike="noStrike" baseline="0">
                    <a:solidFill>
                      <a:srgbClr val="000000"/>
                    </a:solidFill>
                    <a:latin typeface="Arial"/>
                    <a:ea typeface="Arial"/>
                    <a:cs typeface="Arial"/>
                  </a:defRPr>
                </a:pPr>
                <a:endParaRPr lang="es-ES"/>
              </a:p>
            </c:txPr>
            <c:showVal val="1"/>
          </c:dLbls>
          <c:cat>
            <c:strRef>
              <c:f>DATOS!$B$10:$AC$10</c:f>
              <c:strCache>
                <c:ptCount val="4"/>
                <c:pt idx="0">
                  <c:v>ENE-MAR 2014</c:v>
                </c:pt>
                <c:pt idx="1">
                  <c:v>ABR-JUN 2014</c:v>
                </c:pt>
                <c:pt idx="2">
                  <c:v>JUL-SEP 2014</c:v>
                </c:pt>
                <c:pt idx="3">
                  <c:v>OCT-DIC 2014</c:v>
                </c:pt>
              </c:strCache>
            </c:strRef>
          </c:cat>
          <c:val>
            <c:numRef>
              <c:f>DATOS!$B$11:$AC$11</c:f>
              <c:numCache>
                <c:formatCode>General</c:formatCode>
                <c:ptCount val="4"/>
                <c:pt idx="0">
                  <c:v>0</c:v>
                </c:pt>
                <c:pt idx="1">
                  <c:v>0</c:v>
                </c:pt>
                <c:pt idx="2">
                  <c:v>0</c:v>
                </c:pt>
                <c:pt idx="3">
                  <c:v>0</c:v>
                </c:pt>
              </c:numCache>
            </c:numRef>
          </c:val>
          <c:smooth val="1"/>
        </c:ser>
        <c:ser>
          <c:idx val="1"/>
          <c:order val="1"/>
          <c:tx>
            <c:strRef>
              <c:f>DATOS!$A$12</c:f>
              <c:strCache>
                <c:ptCount val="1"/>
                <c:pt idx="0">
                  <c:v>EXCELENTE</c:v>
                </c:pt>
              </c:strCache>
            </c:strRef>
          </c:tx>
          <c:spPr>
            <a:ln w="25400">
              <a:solidFill>
                <a:srgbClr val="92D050"/>
              </a:solidFill>
              <a:prstDash val="solid"/>
            </a:ln>
          </c:spPr>
          <c:marker>
            <c:symbol val="none"/>
          </c:marker>
          <c:cat>
            <c:strRef>
              <c:f>DATOS!$B$10:$AC$10</c:f>
              <c:strCache>
                <c:ptCount val="4"/>
                <c:pt idx="0">
                  <c:v>ENE-MAR 2014</c:v>
                </c:pt>
                <c:pt idx="1">
                  <c:v>ABR-JUN 2014</c:v>
                </c:pt>
                <c:pt idx="2">
                  <c:v>JUL-SEP 2014</c:v>
                </c:pt>
                <c:pt idx="3">
                  <c:v>OCT-DIC 2014</c:v>
                </c:pt>
              </c:strCache>
            </c:strRef>
          </c:cat>
          <c:val>
            <c:numRef>
              <c:f>DATOS!$B$12:$AC$12</c:f>
              <c:numCache>
                <c:formatCode>General</c:formatCode>
                <c:ptCount val="4"/>
                <c:pt idx="0">
                  <c:v>0</c:v>
                </c:pt>
                <c:pt idx="1">
                  <c:v>0</c:v>
                </c:pt>
                <c:pt idx="2">
                  <c:v>0</c:v>
                </c:pt>
                <c:pt idx="3">
                  <c:v>0</c:v>
                </c:pt>
              </c:numCache>
            </c:numRef>
          </c:val>
        </c:ser>
        <c:ser>
          <c:idx val="2"/>
          <c:order val="2"/>
          <c:tx>
            <c:strRef>
              <c:f>DATOS!$A$13</c:f>
              <c:strCache>
                <c:ptCount val="1"/>
                <c:pt idx="0">
                  <c:v>REGULAR</c:v>
                </c:pt>
              </c:strCache>
            </c:strRef>
          </c:tx>
          <c:spPr>
            <a:ln w="25400">
              <a:solidFill>
                <a:srgbClr val="00B0F0"/>
              </a:solidFill>
              <a:prstDash val="solid"/>
            </a:ln>
          </c:spPr>
          <c:marker>
            <c:symbol val="none"/>
          </c:marker>
          <c:cat>
            <c:strRef>
              <c:f>DATOS!$B$10:$AC$10</c:f>
              <c:strCache>
                <c:ptCount val="4"/>
                <c:pt idx="0">
                  <c:v>ENE-MAR 2014</c:v>
                </c:pt>
                <c:pt idx="1">
                  <c:v>ABR-JUN 2014</c:v>
                </c:pt>
                <c:pt idx="2">
                  <c:v>JUL-SEP 2014</c:v>
                </c:pt>
                <c:pt idx="3">
                  <c:v>OCT-DIC 2014</c:v>
                </c:pt>
              </c:strCache>
            </c:strRef>
          </c:cat>
          <c:val>
            <c:numRef>
              <c:f>DATOS!$B$13:$AC$13</c:f>
              <c:numCache>
                <c:formatCode>General</c:formatCode>
                <c:ptCount val="4"/>
                <c:pt idx="0">
                  <c:v>1</c:v>
                </c:pt>
                <c:pt idx="1">
                  <c:v>1</c:v>
                </c:pt>
                <c:pt idx="2">
                  <c:v>1</c:v>
                </c:pt>
                <c:pt idx="3">
                  <c:v>1</c:v>
                </c:pt>
              </c:numCache>
            </c:numRef>
          </c:val>
        </c:ser>
        <c:ser>
          <c:idx val="3"/>
          <c:order val="3"/>
          <c:tx>
            <c:strRef>
              <c:f>DATOS!$A$14</c:f>
              <c:strCache>
                <c:ptCount val="1"/>
                <c:pt idx="0">
                  <c:v>DEFICIENTE</c:v>
                </c:pt>
              </c:strCache>
            </c:strRef>
          </c:tx>
          <c:spPr>
            <a:ln w="25400">
              <a:solidFill>
                <a:srgbClr val="FF0000"/>
              </a:solidFill>
              <a:prstDash val="solid"/>
            </a:ln>
          </c:spPr>
          <c:marker>
            <c:symbol val="none"/>
          </c:marker>
          <c:cat>
            <c:strRef>
              <c:f>DATOS!$B$10:$AC$10</c:f>
              <c:strCache>
                <c:ptCount val="4"/>
                <c:pt idx="0">
                  <c:v>ENE-MAR 2014</c:v>
                </c:pt>
                <c:pt idx="1">
                  <c:v>ABR-JUN 2014</c:v>
                </c:pt>
                <c:pt idx="2">
                  <c:v>JUL-SEP 2014</c:v>
                </c:pt>
                <c:pt idx="3">
                  <c:v>OCT-DIC 2014</c:v>
                </c:pt>
              </c:strCache>
            </c:strRef>
          </c:cat>
          <c:val>
            <c:numRef>
              <c:f>DATOS!$B$14:$AC$14</c:f>
              <c:numCache>
                <c:formatCode>General</c:formatCode>
                <c:ptCount val="4"/>
                <c:pt idx="0">
                  <c:v>3</c:v>
                </c:pt>
                <c:pt idx="1">
                  <c:v>3</c:v>
                </c:pt>
                <c:pt idx="2">
                  <c:v>3</c:v>
                </c:pt>
                <c:pt idx="3">
                  <c:v>3</c:v>
                </c:pt>
              </c:numCache>
            </c:numRef>
          </c:val>
        </c:ser>
        <c:marker val="1"/>
        <c:axId val="165208832"/>
        <c:axId val="165210368"/>
      </c:lineChart>
      <c:catAx>
        <c:axId val="165208832"/>
        <c:scaling>
          <c:orientation val="minMax"/>
        </c:scaling>
        <c:axPos val="b"/>
        <c:numFmt formatCode="mmm\-yy" sourceLinked="1"/>
        <c:tickLblPos val="nextTo"/>
        <c:spPr>
          <a:ln w="3175">
            <a:solidFill>
              <a:srgbClr val="000000"/>
            </a:solidFill>
            <a:prstDash val="solid"/>
          </a:ln>
        </c:spPr>
        <c:txPr>
          <a:bodyPr rot="-5400000" vert="horz"/>
          <a:lstStyle/>
          <a:p>
            <a:pPr>
              <a:defRPr lang="es-CO" sz="800" b="1" i="0" u="none" strike="noStrike" baseline="0">
                <a:solidFill>
                  <a:srgbClr val="000000"/>
                </a:solidFill>
                <a:latin typeface="Arial"/>
                <a:ea typeface="Arial"/>
                <a:cs typeface="Arial"/>
              </a:defRPr>
            </a:pPr>
            <a:endParaRPr lang="es-ES"/>
          </a:p>
        </c:txPr>
        <c:crossAx val="165210368"/>
        <c:crosses val="autoZero"/>
        <c:auto val="1"/>
        <c:lblAlgn val="ctr"/>
        <c:lblOffset val="100"/>
        <c:tickLblSkip val="1"/>
        <c:tickMarkSkip val="1"/>
      </c:catAx>
      <c:valAx>
        <c:axId val="165210368"/>
        <c:scaling>
          <c:orientation val="minMax"/>
          <c:max val="10"/>
          <c:min val="0"/>
        </c:scaling>
        <c:axPos val="l"/>
        <c:numFmt formatCode="0" sourceLinked="0"/>
        <c:tickLblPos val="nextTo"/>
        <c:spPr>
          <a:ln w="3175">
            <a:solidFill>
              <a:srgbClr val="000000"/>
            </a:solidFill>
            <a:prstDash val="solid"/>
          </a:ln>
        </c:spPr>
        <c:txPr>
          <a:bodyPr rot="0" vert="horz"/>
          <a:lstStyle/>
          <a:p>
            <a:pPr>
              <a:defRPr lang="es-CO" sz="500" b="0" i="0" u="none" strike="noStrike" baseline="0">
                <a:solidFill>
                  <a:srgbClr val="000000"/>
                </a:solidFill>
                <a:latin typeface="Arial"/>
                <a:ea typeface="Arial"/>
                <a:cs typeface="Arial"/>
              </a:defRPr>
            </a:pPr>
            <a:endParaRPr lang="es-ES"/>
          </a:p>
        </c:txPr>
        <c:crossAx val="165208832"/>
        <c:crosses val="autoZero"/>
        <c:crossBetween val="between"/>
        <c:majorUnit val="2"/>
        <c:minorUnit val="1"/>
      </c:valAx>
      <c:spPr>
        <a:noFill/>
        <a:ln w="25400">
          <a:noFill/>
        </a:ln>
      </c:spPr>
    </c:plotArea>
    <c:legend>
      <c:legendPos val="r"/>
      <c:layout>
        <c:manualLayout>
          <c:xMode val="edge"/>
          <c:yMode val="edge"/>
          <c:x val="0.62345937746375024"/>
          <c:y val="0.22793684017091331"/>
          <c:w val="0.36470464956139043"/>
          <c:h val="0.60712160893220002"/>
        </c:manualLayout>
      </c:layout>
      <c:spPr>
        <a:solidFill>
          <a:srgbClr val="FFFFFF"/>
        </a:solidFill>
        <a:ln w="3175">
          <a:solidFill>
            <a:srgbClr val="000000"/>
          </a:solidFill>
          <a:prstDash val="solid"/>
        </a:ln>
      </c:spPr>
      <c:txPr>
        <a:bodyPr/>
        <a:lstStyle/>
        <a:p>
          <a:pPr>
            <a:defRPr lang="es-CO"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00"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CO"/>
              <a:t>EVALUACION PROVEEDORES FINANCIEROS</a:t>
            </a:r>
          </a:p>
        </c:rich>
      </c:tx>
    </c:title>
    <c:plotArea>
      <c:layout>
        <c:manualLayout>
          <c:layoutTarget val="inner"/>
          <c:xMode val="edge"/>
          <c:yMode val="edge"/>
          <c:x val="8.9609604129670728E-2"/>
          <c:y val="9.8103017863299696E-2"/>
          <c:w val="0.6903980218635728"/>
          <c:h val="0.54562191089750556"/>
        </c:manualLayout>
      </c:layout>
      <c:barChart>
        <c:barDir val="col"/>
        <c:grouping val="clustered"/>
        <c:ser>
          <c:idx val="0"/>
          <c:order val="0"/>
          <c:tx>
            <c:strRef>
              <c:f>DATOS!$A$17</c:f>
              <c:strCache>
                <c:ptCount val="1"/>
                <c:pt idx="0">
                  <c:v>EVALUACION PROVEEDORES  FINANCIEROS</c:v>
                </c:pt>
              </c:strCache>
            </c:strRef>
          </c:tx>
          <c:spPr>
            <a:solidFill>
              <a:srgbClr val="006600"/>
            </a:solidFill>
            <a:ln w="12700">
              <a:solidFill>
                <a:srgbClr val="000000"/>
              </a:solidFill>
              <a:prstDash val="solid"/>
            </a:ln>
          </c:spPr>
          <c:dLbls>
            <c:dLbl>
              <c:idx val="0"/>
              <c:layout>
                <c:manualLayout>
                  <c:x val="-7.6868658564445014E-3"/>
                  <c:y val="-1.1745426382059923E-2"/>
                </c:manualLayout>
              </c:layout>
              <c:dLblPos val="outEnd"/>
              <c:showVal val="1"/>
            </c:dLbl>
            <c:dLbl>
              <c:idx val="1"/>
              <c:layout>
                <c:manualLayout>
                  <c:x val="5.7547601511459003E-4"/>
                  <c:y val="2.8522030871327209E-3"/>
                </c:manualLayout>
              </c:layout>
              <c:dLblPos val="outEnd"/>
              <c:showVal val="1"/>
            </c:dLbl>
            <c:dLbl>
              <c:idx val="2"/>
              <c:layout>
                <c:manualLayout>
                  <c:x val="3.7748061699691515E-3"/>
                  <c:y val="-1.7089787662204009E-2"/>
                </c:manualLayout>
              </c:layout>
              <c:dLblPos val="outEnd"/>
              <c:showVal val="1"/>
            </c:dLbl>
            <c:dLbl>
              <c:idx val="3"/>
              <c:layout>
                <c:manualLayout>
                  <c:x val="-3.8300965670037212E-3"/>
                  <c:y val="3.4920580903541977E-2"/>
                </c:manualLayout>
              </c:layout>
              <c:dLblPos val="outEnd"/>
              <c:showVal val="1"/>
            </c:dLbl>
            <c:dLbl>
              <c:idx val="4"/>
              <c:layout>
                <c:manualLayout>
                  <c:x val="1.3734581449105106E-2"/>
                  <c:y val="2.5504803702815802E-2"/>
                </c:manualLayout>
              </c:layout>
              <c:dLblPos val="outEnd"/>
              <c:showVal val="1"/>
            </c:dLbl>
            <c:dLbl>
              <c:idx val="5"/>
              <c:layout>
                <c:manualLayout>
                  <c:x val="2.252496483802011E-2"/>
                  <c:y val="-2.3538102318074402E-2"/>
                </c:manualLayout>
              </c:layout>
              <c:dLblPos val="outEnd"/>
              <c:showVal val="1"/>
            </c:dLbl>
            <c:dLbl>
              <c:idx val="6"/>
              <c:layout>
                <c:manualLayout>
                  <c:x val="2.1731795153512812E-2"/>
                  <c:y val="-5.3481951119747038E-4"/>
                </c:manualLayout>
              </c:layout>
              <c:dLblPos val="outEnd"/>
              <c:showVal val="1"/>
            </c:dLbl>
            <c:dLbl>
              <c:idx val="7"/>
              <c:layout>
                <c:manualLayout>
                  <c:x val="9.0640297869743047E-3"/>
                  <c:y val="6.7389303609776123E-4"/>
                </c:manualLayout>
              </c:layout>
              <c:dLblPos val="outEnd"/>
              <c:showVal val="1"/>
            </c:dLbl>
            <c:dLbl>
              <c:idx val="8"/>
              <c:layout>
                <c:manualLayout>
                  <c:x val="4.9231921293412034E-3"/>
                  <c:y val="1.2354940356747498E-2"/>
                </c:manualLayout>
              </c:layout>
              <c:dLblPos val="outEnd"/>
              <c:showVal val="1"/>
            </c:dLbl>
            <c:dLbl>
              <c:idx val="9"/>
              <c:layout>
                <c:manualLayout>
                  <c:x val="-1.4273332112554598E-3"/>
                  <c:y val="-3.8867300678324737E-2"/>
                </c:manualLayout>
              </c:layout>
              <c:dLblPos val="outEnd"/>
              <c:showVal val="1"/>
            </c:dLbl>
            <c:dLbl>
              <c:idx val="10"/>
              <c:layout>
                <c:manualLayout>
                  <c:x val="0.23751366653844921"/>
                  <c:y val="1.6447394838666227E-2"/>
                </c:manualLayout>
              </c:layout>
              <c:dLblPos val="outEnd"/>
              <c:showVal val="1"/>
            </c:dLbl>
            <c:dLbl>
              <c:idx val="11"/>
              <c:dLblPos val="outEnd"/>
              <c:showVal val="1"/>
            </c:dLbl>
            <c:dLbl>
              <c:idx val="12"/>
              <c:layout>
                <c:manualLayout>
                  <c:x val="-0.32885476411539416"/>
                  <c:y val="0.30533777234446968"/>
                </c:manualLayout>
              </c:layout>
              <c:dLblPos val="outEnd"/>
              <c:showVal val="1"/>
            </c:dLbl>
            <c:dLbl>
              <c:idx val="13"/>
              <c:layout>
                <c:manualLayout>
                  <c:x val="-0.31807357019961363"/>
                  <c:y val="0.29992072220300875"/>
                </c:manualLayout>
              </c:layout>
              <c:dLblPos val="outEnd"/>
              <c:showVal val="1"/>
            </c:dLbl>
            <c:dLbl>
              <c:idx val="14"/>
              <c:layout>
                <c:manualLayout>
                  <c:x val="-0.45436221086079231"/>
                  <c:y val="0.59210621419198151"/>
                </c:manualLayout>
              </c:layout>
              <c:dLblPos val="outEnd"/>
              <c:showVal val="1"/>
            </c:dLbl>
            <c:dLbl>
              <c:idx val="15"/>
              <c:layout>
                <c:manualLayout>
                  <c:x val="-0.40358072396130051"/>
                  <c:y val="0.210526653934927"/>
                </c:manualLayout>
              </c:layout>
              <c:dLblPos val="outEnd"/>
              <c:showVal val="1"/>
            </c:dLbl>
            <c:dLbl>
              <c:idx val="16"/>
              <c:layout>
                <c:manualLayout>
                  <c:xMode val="edge"/>
                  <c:yMode val="edge"/>
                  <c:x val="0.52250063781816203"/>
                  <c:y val="0.28289519122506052"/>
                </c:manualLayout>
              </c:layout>
              <c:dLblPos val="outEnd"/>
              <c:showVal val="1"/>
            </c:dLbl>
            <c:dLbl>
              <c:idx val="17"/>
              <c:layout>
                <c:manualLayout>
                  <c:xMode val="edge"/>
                  <c:yMode val="edge"/>
                  <c:x val="0.58750071716396057"/>
                  <c:y val="0.279605712257325"/>
                </c:manualLayout>
              </c:layout>
              <c:dLblPos val="outEnd"/>
              <c:showVal val="1"/>
            </c:dLbl>
            <c:dLbl>
              <c:idx val="18"/>
              <c:layout>
                <c:manualLayout>
                  <c:xMode val="edge"/>
                  <c:yMode val="edge"/>
                  <c:x val="0.61750075378510005"/>
                  <c:y val="0.21381613290266208"/>
                </c:manualLayout>
              </c:layout>
              <c:dLblPos val="outEnd"/>
              <c:showVal val="1"/>
            </c:dLbl>
            <c:dLbl>
              <c:idx val="19"/>
              <c:layout>
                <c:manualLayout>
                  <c:xMode val="edge"/>
                  <c:yMode val="edge"/>
                  <c:x val="0.65000079345800743"/>
                  <c:y val="0.26315831741865808"/>
                </c:manualLayout>
              </c:layout>
              <c:dLblPos val="outEnd"/>
              <c:showVal val="1"/>
            </c:dLbl>
            <c:numFmt formatCode="0.00%" sourceLinked="0"/>
            <c:spPr>
              <a:noFill/>
              <a:ln w="25400">
                <a:noFill/>
              </a:ln>
            </c:spPr>
            <c:txPr>
              <a:bodyPr/>
              <a:lstStyle/>
              <a:p>
                <a:pPr>
                  <a:defRPr lang="es-CO" sz="800" b="1" i="0" u="none" strike="noStrike" baseline="0">
                    <a:solidFill>
                      <a:srgbClr val="000000"/>
                    </a:solidFill>
                    <a:latin typeface="Arial"/>
                    <a:ea typeface="Arial"/>
                    <a:cs typeface="Arial"/>
                  </a:defRPr>
                </a:pPr>
                <a:endParaRPr lang="es-ES"/>
              </a:p>
            </c:txPr>
            <c:showVal val="1"/>
          </c:dLbls>
          <c:cat>
            <c:strRef>
              <c:f>DATOS!$B$16:$AC$16</c:f>
              <c:strCache>
                <c:ptCount val="4"/>
                <c:pt idx="0">
                  <c:v>ENE-MAR 2014</c:v>
                </c:pt>
                <c:pt idx="1">
                  <c:v>ABR-JUN 2014</c:v>
                </c:pt>
                <c:pt idx="2">
                  <c:v>JUL-SEP 2014</c:v>
                </c:pt>
                <c:pt idx="3">
                  <c:v>OCT-DIC 2014</c:v>
                </c:pt>
              </c:strCache>
            </c:strRef>
          </c:cat>
          <c:val>
            <c:numRef>
              <c:f>DATOS!$B$17:$AC$17</c:f>
              <c:numCache>
                <c:formatCode>0.00%</c:formatCode>
                <c:ptCount val="4"/>
                <c:pt idx="0">
                  <c:v>0.83410000000000062</c:v>
                </c:pt>
                <c:pt idx="1">
                  <c:v>0.86750000000000005</c:v>
                </c:pt>
                <c:pt idx="2">
                  <c:v>0.86750000000000005</c:v>
                </c:pt>
                <c:pt idx="3">
                  <c:v>0.86750000000000005</c:v>
                </c:pt>
              </c:numCache>
            </c:numRef>
          </c:val>
        </c:ser>
        <c:axId val="165291136"/>
        <c:axId val="165292672"/>
      </c:barChart>
      <c:lineChart>
        <c:grouping val="standard"/>
        <c:ser>
          <c:idx val="1"/>
          <c:order val="1"/>
          <c:tx>
            <c:strRef>
              <c:f>DATOS!$A$18</c:f>
              <c:strCache>
                <c:ptCount val="1"/>
                <c:pt idx="0">
                  <c:v>EXCELENTE</c:v>
                </c:pt>
              </c:strCache>
            </c:strRef>
          </c:tx>
          <c:spPr>
            <a:ln w="25400">
              <a:solidFill>
                <a:srgbClr val="92D050"/>
              </a:solidFill>
              <a:prstDash val="solid"/>
            </a:ln>
          </c:spPr>
          <c:marker>
            <c:symbol val="none"/>
          </c:marker>
          <c:cat>
            <c:strRef>
              <c:f>DATOS!$B$16:$AC$16</c:f>
              <c:strCache>
                <c:ptCount val="4"/>
                <c:pt idx="0">
                  <c:v>ENE-MAR 2014</c:v>
                </c:pt>
                <c:pt idx="1">
                  <c:v>ABR-JUN 2014</c:v>
                </c:pt>
                <c:pt idx="2">
                  <c:v>JUL-SEP 2014</c:v>
                </c:pt>
                <c:pt idx="3">
                  <c:v>OCT-DIC 2014</c:v>
                </c:pt>
              </c:strCache>
            </c:strRef>
          </c:cat>
          <c:val>
            <c:numRef>
              <c:f>DATOS!$B$18:$AC$18</c:f>
              <c:numCache>
                <c:formatCode>0%</c:formatCode>
                <c:ptCount val="4"/>
                <c:pt idx="0">
                  <c:v>0.8</c:v>
                </c:pt>
                <c:pt idx="1">
                  <c:v>0.8</c:v>
                </c:pt>
                <c:pt idx="2">
                  <c:v>0.8</c:v>
                </c:pt>
                <c:pt idx="3">
                  <c:v>0.8</c:v>
                </c:pt>
              </c:numCache>
            </c:numRef>
          </c:val>
        </c:ser>
        <c:ser>
          <c:idx val="2"/>
          <c:order val="2"/>
          <c:tx>
            <c:strRef>
              <c:f>DATOS!$A$19</c:f>
              <c:strCache>
                <c:ptCount val="1"/>
                <c:pt idx="0">
                  <c:v>REGULAR</c:v>
                </c:pt>
              </c:strCache>
            </c:strRef>
          </c:tx>
          <c:spPr>
            <a:ln w="25400">
              <a:solidFill>
                <a:srgbClr val="00B0F0"/>
              </a:solidFill>
              <a:prstDash val="solid"/>
            </a:ln>
          </c:spPr>
          <c:marker>
            <c:symbol val="none"/>
          </c:marker>
          <c:cat>
            <c:strRef>
              <c:f>DATOS!$B$16:$AC$16</c:f>
              <c:strCache>
                <c:ptCount val="4"/>
                <c:pt idx="0">
                  <c:v>ENE-MAR 2014</c:v>
                </c:pt>
                <c:pt idx="1">
                  <c:v>ABR-JUN 2014</c:v>
                </c:pt>
                <c:pt idx="2">
                  <c:v>JUL-SEP 2014</c:v>
                </c:pt>
                <c:pt idx="3">
                  <c:v>OCT-DIC 2014</c:v>
                </c:pt>
              </c:strCache>
            </c:strRef>
          </c:cat>
          <c:val>
            <c:numRef>
              <c:f>DATOS!$B$19:$AC$19</c:f>
              <c:numCache>
                <c:formatCode>0%</c:formatCode>
                <c:ptCount val="4"/>
                <c:pt idx="0">
                  <c:v>0.70000000000000062</c:v>
                </c:pt>
                <c:pt idx="1">
                  <c:v>0.70000000000000062</c:v>
                </c:pt>
                <c:pt idx="2">
                  <c:v>0.70000000000000062</c:v>
                </c:pt>
                <c:pt idx="3">
                  <c:v>0.70000000000000062</c:v>
                </c:pt>
              </c:numCache>
            </c:numRef>
          </c:val>
        </c:ser>
        <c:ser>
          <c:idx val="3"/>
          <c:order val="3"/>
          <c:tx>
            <c:strRef>
              <c:f>DATOS!$A$20</c:f>
              <c:strCache>
                <c:ptCount val="1"/>
                <c:pt idx="0">
                  <c:v>DEFICIENTE</c:v>
                </c:pt>
              </c:strCache>
            </c:strRef>
          </c:tx>
          <c:spPr>
            <a:ln w="25400">
              <a:solidFill>
                <a:srgbClr val="FF0000"/>
              </a:solidFill>
              <a:prstDash val="solid"/>
            </a:ln>
          </c:spPr>
          <c:marker>
            <c:symbol val="none"/>
          </c:marker>
          <c:cat>
            <c:strRef>
              <c:f>DATOS!$B$16:$AC$16</c:f>
              <c:strCache>
                <c:ptCount val="4"/>
                <c:pt idx="0">
                  <c:v>ENE-MAR 2014</c:v>
                </c:pt>
                <c:pt idx="1">
                  <c:v>ABR-JUN 2014</c:v>
                </c:pt>
                <c:pt idx="2">
                  <c:v>JUL-SEP 2014</c:v>
                </c:pt>
                <c:pt idx="3">
                  <c:v>OCT-DIC 2014</c:v>
                </c:pt>
              </c:strCache>
            </c:strRef>
          </c:cat>
          <c:val>
            <c:numRef>
              <c:f>DATOS!$B$20:$AC$20</c:f>
              <c:numCache>
                <c:formatCode>0%</c:formatCode>
                <c:ptCount val="4"/>
                <c:pt idx="0">
                  <c:v>0.5</c:v>
                </c:pt>
                <c:pt idx="1">
                  <c:v>0.5</c:v>
                </c:pt>
                <c:pt idx="2">
                  <c:v>0.5</c:v>
                </c:pt>
                <c:pt idx="3">
                  <c:v>0.5</c:v>
                </c:pt>
              </c:numCache>
            </c:numRef>
          </c:val>
        </c:ser>
        <c:marker val="1"/>
        <c:axId val="165291136"/>
        <c:axId val="165292672"/>
      </c:lineChart>
      <c:catAx>
        <c:axId val="165291136"/>
        <c:scaling>
          <c:orientation val="minMax"/>
        </c:scaling>
        <c:axPos val="b"/>
        <c:numFmt formatCode="General" sourceLinked="1"/>
        <c:tickLblPos val="nextTo"/>
        <c:spPr>
          <a:ln w="3175">
            <a:solidFill>
              <a:srgbClr val="000000"/>
            </a:solidFill>
            <a:prstDash val="solid"/>
          </a:ln>
        </c:spPr>
        <c:txPr>
          <a:bodyPr rot="-5400000" vert="horz"/>
          <a:lstStyle/>
          <a:p>
            <a:pPr>
              <a:defRPr lang="es-CO" sz="800" b="1" i="0" u="none" strike="noStrike" baseline="0">
                <a:solidFill>
                  <a:srgbClr val="000000"/>
                </a:solidFill>
                <a:latin typeface="Arial"/>
                <a:ea typeface="Arial"/>
                <a:cs typeface="Arial"/>
              </a:defRPr>
            </a:pPr>
            <a:endParaRPr lang="es-ES"/>
          </a:p>
        </c:txPr>
        <c:crossAx val="165292672"/>
        <c:crosses val="autoZero"/>
        <c:auto val="1"/>
        <c:lblAlgn val="ctr"/>
        <c:lblOffset val="100"/>
        <c:tickLblSkip val="1"/>
        <c:tickMarkSkip val="1"/>
      </c:catAx>
      <c:valAx>
        <c:axId val="165292672"/>
        <c:scaling>
          <c:orientation val="minMax"/>
          <c:max val="1.4"/>
          <c:min val="0"/>
        </c:scaling>
        <c:axPos val="l"/>
        <c:numFmt formatCode="0%" sourceLinked="0"/>
        <c:tickLblPos val="nextTo"/>
        <c:spPr>
          <a:ln w="3175">
            <a:solidFill>
              <a:srgbClr val="000000"/>
            </a:solidFill>
            <a:prstDash val="solid"/>
          </a:ln>
        </c:spPr>
        <c:txPr>
          <a:bodyPr rot="0" vert="horz"/>
          <a:lstStyle/>
          <a:p>
            <a:pPr>
              <a:defRPr lang="es-CO" sz="800" b="0" i="0" u="none" strike="noStrike" baseline="0">
                <a:solidFill>
                  <a:srgbClr val="000000"/>
                </a:solidFill>
                <a:latin typeface="Arial"/>
                <a:ea typeface="Arial"/>
                <a:cs typeface="Arial"/>
              </a:defRPr>
            </a:pPr>
            <a:endParaRPr lang="es-ES"/>
          </a:p>
        </c:txPr>
        <c:crossAx val="165291136"/>
        <c:crosses val="autoZero"/>
        <c:crossBetween val="between"/>
        <c:minorUnit val="0.1"/>
      </c:valAx>
      <c:spPr>
        <a:noFill/>
        <a:ln w="25400">
          <a:noFill/>
        </a:ln>
      </c:spPr>
    </c:plotArea>
    <c:legend>
      <c:legendPos val="r"/>
      <c:layout>
        <c:manualLayout>
          <c:xMode val="edge"/>
          <c:yMode val="edge"/>
          <c:x val="0.78392142597308279"/>
          <c:y val="0.16533093139027821"/>
          <c:w val="0.21088421279947694"/>
          <c:h val="0.51971966068714925"/>
        </c:manualLayout>
      </c:layout>
      <c:spPr>
        <a:solidFill>
          <a:srgbClr val="FFFFFF"/>
        </a:solidFill>
        <a:ln w="3175">
          <a:solidFill>
            <a:srgbClr val="000000"/>
          </a:solidFill>
          <a:prstDash val="solid"/>
        </a:ln>
      </c:spPr>
      <c:txPr>
        <a:bodyPr/>
        <a:lstStyle/>
        <a:p>
          <a:pPr>
            <a:defRPr lang="es-CO" sz="50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b="1"/>
            </a:pPr>
            <a:r>
              <a:rPr lang="es-CO" b="1"/>
              <a:t>% TASA PROMEDIO</a:t>
            </a:r>
            <a:r>
              <a:rPr lang="es-CO" b="1" baseline="0"/>
              <a:t> DEPOSITO</a:t>
            </a:r>
            <a:endParaRPr lang="es-CO" b="1"/>
          </a:p>
        </c:rich>
      </c:tx>
    </c:title>
    <c:plotArea>
      <c:layout>
        <c:manualLayout>
          <c:layoutTarget val="inner"/>
          <c:xMode val="edge"/>
          <c:yMode val="edge"/>
          <c:x val="0.10561809341873002"/>
          <c:y val="0.23989045650913093"/>
          <c:w val="0.66467430660351945"/>
          <c:h val="0.4389837058075014"/>
        </c:manualLayout>
      </c:layout>
      <c:barChart>
        <c:barDir val="col"/>
        <c:grouping val="clustered"/>
        <c:ser>
          <c:idx val="0"/>
          <c:order val="0"/>
          <c:tx>
            <c:strRef>
              <c:f>DATOS!$A$23</c:f>
              <c:strCache>
                <c:ptCount val="1"/>
                <c:pt idx="0">
                  <c:v>% TASA PROMEDIO DEPOSITOS</c:v>
                </c:pt>
              </c:strCache>
            </c:strRef>
          </c:tx>
          <c:spPr>
            <a:solidFill>
              <a:srgbClr val="006600"/>
            </a:solidFill>
            <a:ln w="12700">
              <a:solidFill>
                <a:srgbClr val="000000"/>
              </a:solidFill>
              <a:prstDash val="solid"/>
            </a:ln>
          </c:spPr>
          <c:dLbls>
            <c:dLbl>
              <c:idx val="1"/>
              <c:layout>
                <c:manualLayout>
                  <c:x val="8.0008877770517822E-3"/>
                  <c:y val="-4.5631177085888916E-2"/>
                </c:manualLayout>
              </c:layout>
              <c:dLblPos val="outEnd"/>
              <c:showVal val="1"/>
            </c:dLbl>
            <c:dLbl>
              <c:idx val="2"/>
              <c:layout>
                <c:manualLayout>
                  <c:x val="2.7626469289585741E-4"/>
                  <c:y val="-4.0748712451076412E-2"/>
                </c:manualLayout>
              </c:layout>
              <c:dLblPos val="outEnd"/>
              <c:showVal val="1"/>
            </c:dLbl>
            <c:dLbl>
              <c:idx val="3"/>
              <c:layout>
                <c:manualLayout>
                  <c:x val="-7.0701388584283424E-4"/>
                  <c:y val="-2.6288362227657534E-2"/>
                </c:manualLayout>
              </c:layout>
              <c:dLblPos val="outEnd"/>
              <c:showVal val="1"/>
            </c:dLbl>
            <c:dLbl>
              <c:idx val="4"/>
              <c:layout>
                <c:manualLayout>
                  <c:x val="9.5459108459551925E-3"/>
                  <c:y val="1.9556515501310684E-3"/>
                </c:manualLayout>
              </c:layout>
              <c:dLblPos val="outEnd"/>
              <c:showVal val="1"/>
            </c:dLbl>
            <c:dLbl>
              <c:idx val="5"/>
              <c:layout>
                <c:manualLayout>
                  <c:x val="1.3057019221205005E-2"/>
                  <c:y val="-4.1124234573391802E-2"/>
                </c:manualLayout>
              </c:layout>
              <c:dLblPos val="outEnd"/>
              <c:showVal val="1"/>
            </c:dLbl>
            <c:dLbl>
              <c:idx val="6"/>
              <c:layout>
                <c:manualLayout>
                  <c:x val="-1.0397958201910707E-2"/>
                  <c:y val="-2.4222802875780002E-2"/>
                </c:manualLayout>
              </c:layout>
              <c:dLblPos val="outEnd"/>
              <c:showVal val="1"/>
            </c:dLbl>
            <c:dLbl>
              <c:idx val="7"/>
              <c:layout>
                <c:manualLayout>
                  <c:x val="-1.4503347011257566E-4"/>
                  <c:y val="-2.4896166981128901E-2"/>
                </c:manualLayout>
              </c:layout>
              <c:dLblPos val="outEnd"/>
              <c:showVal val="1"/>
            </c:dLbl>
            <c:dLbl>
              <c:idx val="8"/>
              <c:layout>
                <c:manualLayout>
                  <c:x val="1.4602042290108403E-2"/>
                  <c:y val="-3.5693222521600523E-2"/>
                </c:manualLayout>
              </c:layout>
              <c:dLblPos val="outEnd"/>
              <c:showVal val="1"/>
            </c:dLbl>
            <c:dLbl>
              <c:idx val="9"/>
              <c:layout>
                <c:manualLayout>
                  <c:x val="1.1371806159941E-2"/>
                  <c:y val="-2.7242506672794511E-2"/>
                </c:manualLayout>
              </c:layout>
              <c:dLblPos val="outEnd"/>
              <c:showVal val="1"/>
            </c:dLbl>
            <c:dLbl>
              <c:idx val="10"/>
              <c:layout>
                <c:manualLayout>
                  <c:x val="1.7130108012185175E-2"/>
                  <c:y val="-3.5693222521600523E-2"/>
                </c:manualLayout>
              </c:layout>
              <c:dLblPos val="outEnd"/>
              <c:showVal val="1"/>
            </c:dLbl>
            <c:dLbl>
              <c:idx val="11"/>
              <c:layout>
                <c:manualLayout>
                  <c:x val="4.9110979740407124E-3"/>
                  <c:y val="-4.6960843653341411E-2"/>
                </c:manualLayout>
              </c:layout>
              <c:dLblPos val="outEnd"/>
              <c:showVal val="1"/>
            </c:dLbl>
            <c:dLbl>
              <c:idx val="12"/>
              <c:layout>
                <c:manualLayout>
                  <c:x val="8.4222063492904505E-3"/>
                  <c:y val="-2.4425601389858904E-2"/>
                </c:manualLayout>
              </c:layout>
              <c:dLblPos val="outEnd"/>
              <c:showVal val="1"/>
            </c:dLbl>
            <c:dLbl>
              <c:idx val="13"/>
              <c:layout>
                <c:manualLayout>
                  <c:x val="7.4391636961173742E-3"/>
                  <c:y val="-5.4757976230891084E-2"/>
                </c:manualLayout>
              </c:layout>
              <c:dLblPos val="outEnd"/>
              <c:showVal val="1"/>
            </c:dLbl>
            <c:dLbl>
              <c:idx val="14"/>
              <c:layout>
                <c:manualLayout>
                  <c:x val="-4.7949511928986523E-3"/>
                  <c:y val="-9.313361691857449E-3"/>
                </c:manualLayout>
              </c:layout>
              <c:dLblPos val="outEnd"/>
              <c:showVal val="1"/>
            </c:dLbl>
            <c:dLbl>
              <c:idx val="15"/>
              <c:layout>
                <c:manualLayout>
                  <c:x val="-4.7751334453979034E-3"/>
                  <c:y val="-3.6348990858901302E-2"/>
                </c:manualLayout>
              </c:layout>
              <c:dLblPos val="outEnd"/>
              <c:showVal val="1"/>
            </c:dLbl>
            <c:dLbl>
              <c:idx val="16"/>
              <c:layout>
                <c:manualLayout>
                  <c:xMode val="edge"/>
                  <c:yMode val="edge"/>
                  <c:x val="0.46966343669179583"/>
                  <c:y val="0.24225385433243782"/>
                </c:manualLayout>
              </c:layout>
              <c:dLblPos val="outEnd"/>
              <c:showVal val="1"/>
            </c:dLbl>
            <c:dLbl>
              <c:idx val="17"/>
              <c:layout>
                <c:manualLayout>
                  <c:xMode val="edge"/>
                  <c:yMode val="edge"/>
                  <c:x val="0.52809046709364804"/>
                  <c:y val="0.23943694904950141"/>
                </c:manualLayout>
              </c:layout>
              <c:dLblPos val="outEnd"/>
              <c:showVal val="1"/>
            </c:dLbl>
            <c:dLbl>
              <c:idx val="18"/>
              <c:layout>
                <c:manualLayout>
                  <c:xMode val="edge"/>
                  <c:yMode val="edge"/>
                  <c:x val="0.55505678881757858"/>
                  <c:y val="0.18309884339079596"/>
                </c:manualLayout>
              </c:layout>
              <c:dLblPos val="outEnd"/>
              <c:showVal val="1"/>
            </c:dLbl>
            <c:dLbl>
              <c:idx val="19"/>
              <c:layout>
                <c:manualLayout>
                  <c:xMode val="edge"/>
                  <c:yMode val="edge"/>
                  <c:x val="0.58427030401850399"/>
                  <c:y val="0.225352422634824"/>
                </c:manualLayout>
              </c:layout>
              <c:dLblPos val="outEnd"/>
              <c:showVal val="1"/>
            </c:dLbl>
            <c:numFmt formatCode="0.00%" sourceLinked="0"/>
            <c:spPr>
              <a:noFill/>
              <a:ln w="25400">
                <a:noFill/>
              </a:ln>
            </c:spPr>
            <c:txPr>
              <a:bodyPr/>
              <a:lstStyle/>
              <a:p>
                <a:pPr>
                  <a:defRPr lang="es-CO" sz="800" b="1" i="0" u="none" strike="noStrike" baseline="0">
                    <a:solidFill>
                      <a:srgbClr val="000000"/>
                    </a:solidFill>
                    <a:latin typeface="Arial"/>
                    <a:ea typeface="Arial"/>
                    <a:cs typeface="Arial"/>
                  </a:defRPr>
                </a:pPr>
                <a:endParaRPr lang="es-ES"/>
              </a:p>
            </c:txPr>
            <c:showVal val="1"/>
          </c:dLbls>
          <c:cat>
            <c:strRef>
              <c:f>DATOS!$B$22:$AC$22</c:f>
              <c:strCache>
                <c:ptCount val="4"/>
                <c:pt idx="0">
                  <c:v>ENE-MAR 2014</c:v>
                </c:pt>
                <c:pt idx="1">
                  <c:v>ABR-JUN 2014</c:v>
                </c:pt>
                <c:pt idx="2">
                  <c:v>JUL-SEP 2014</c:v>
                </c:pt>
                <c:pt idx="3">
                  <c:v>OCT-DIC 2014</c:v>
                </c:pt>
              </c:strCache>
            </c:strRef>
          </c:cat>
          <c:val>
            <c:numRef>
              <c:f>DATOS!$B$23:$AC$23</c:f>
              <c:numCache>
                <c:formatCode>0.00%</c:formatCode>
                <c:ptCount val="4"/>
                <c:pt idx="0">
                  <c:v>3.9000000000000014E-2</c:v>
                </c:pt>
                <c:pt idx="1">
                  <c:v>3.9000000000000014E-2</c:v>
                </c:pt>
                <c:pt idx="2">
                  <c:v>3.9800000000000016E-2</c:v>
                </c:pt>
                <c:pt idx="3">
                  <c:v>3.9800000000000016E-2</c:v>
                </c:pt>
              </c:numCache>
            </c:numRef>
          </c:val>
        </c:ser>
        <c:gapWidth val="80"/>
        <c:axId val="165328384"/>
        <c:axId val="165329920"/>
      </c:barChart>
      <c:lineChart>
        <c:grouping val="standard"/>
        <c:ser>
          <c:idx val="1"/>
          <c:order val="1"/>
          <c:tx>
            <c:strRef>
              <c:f>DATOS!$A$24</c:f>
              <c:strCache>
                <c:ptCount val="1"/>
                <c:pt idx="0">
                  <c:v>EXCELENTE</c:v>
                </c:pt>
              </c:strCache>
            </c:strRef>
          </c:tx>
          <c:spPr>
            <a:ln w="25400">
              <a:solidFill>
                <a:srgbClr val="92D050"/>
              </a:solidFill>
              <a:prstDash val="solid"/>
            </a:ln>
          </c:spPr>
          <c:marker>
            <c:symbol val="none"/>
          </c:marker>
          <c:cat>
            <c:strRef>
              <c:f>DATOS!$B$22:$AC$22</c:f>
              <c:strCache>
                <c:ptCount val="4"/>
                <c:pt idx="0">
                  <c:v>ENE-MAR 2014</c:v>
                </c:pt>
                <c:pt idx="1">
                  <c:v>ABR-JUN 2014</c:v>
                </c:pt>
                <c:pt idx="2">
                  <c:v>JUL-SEP 2014</c:v>
                </c:pt>
                <c:pt idx="3">
                  <c:v>OCT-DIC 2014</c:v>
                </c:pt>
              </c:strCache>
            </c:strRef>
          </c:cat>
          <c:val>
            <c:numRef>
              <c:f>DATOS!$B$24:$AC$24</c:f>
              <c:numCache>
                <c:formatCode>0.00%</c:formatCode>
                <c:ptCount val="4"/>
                <c:pt idx="0">
                  <c:v>4.1000000000000009E-2</c:v>
                </c:pt>
                <c:pt idx="1">
                  <c:v>4.0000000000000022E-2</c:v>
                </c:pt>
                <c:pt idx="2">
                  <c:v>4.2000000000000023E-2</c:v>
                </c:pt>
                <c:pt idx="3">
                  <c:v>4.2000000000000023E-2</c:v>
                </c:pt>
              </c:numCache>
            </c:numRef>
          </c:val>
        </c:ser>
        <c:ser>
          <c:idx val="2"/>
          <c:order val="2"/>
          <c:tx>
            <c:strRef>
              <c:f>DATOS!$A$25</c:f>
              <c:strCache>
                <c:ptCount val="1"/>
                <c:pt idx="0">
                  <c:v>REGULAR</c:v>
                </c:pt>
              </c:strCache>
            </c:strRef>
          </c:tx>
          <c:spPr>
            <a:ln w="25400">
              <a:solidFill>
                <a:srgbClr val="00B0F0"/>
              </a:solidFill>
              <a:prstDash val="solid"/>
            </a:ln>
          </c:spPr>
          <c:marker>
            <c:symbol val="none"/>
          </c:marker>
          <c:cat>
            <c:strRef>
              <c:f>DATOS!$B$22:$AC$22</c:f>
              <c:strCache>
                <c:ptCount val="4"/>
                <c:pt idx="0">
                  <c:v>ENE-MAR 2014</c:v>
                </c:pt>
                <c:pt idx="1">
                  <c:v>ABR-JUN 2014</c:v>
                </c:pt>
                <c:pt idx="2">
                  <c:v>JUL-SEP 2014</c:v>
                </c:pt>
                <c:pt idx="3">
                  <c:v>OCT-DIC 2014</c:v>
                </c:pt>
              </c:strCache>
            </c:strRef>
          </c:cat>
          <c:val>
            <c:numRef>
              <c:f>DATOS!$B$25:$AC$25</c:f>
              <c:numCache>
                <c:formatCode>0.00%</c:formatCode>
                <c:ptCount val="4"/>
                <c:pt idx="0">
                  <c:v>2.7500000000000011E-2</c:v>
                </c:pt>
                <c:pt idx="1">
                  <c:v>2.7500000000000011E-2</c:v>
                </c:pt>
                <c:pt idx="2">
                  <c:v>2.7500000000000011E-2</c:v>
                </c:pt>
                <c:pt idx="3">
                  <c:v>2.7500000000000011E-2</c:v>
                </c:pt>
              </c:numCache>
            </c:numRef>
          </c:val>
        </c:ser>
        <c:ser>
          <c:idx val="3"/>
          <c:order val="3"/>
          <c:tx>
            <c:strRef>
              <c:f>DATOS!$A$26</c:f>
              <c:strCache>
                <c:ptCount val="1"/>
                <c:pt idx="0">
                  <c:v>DEFICIENTE</c:v>
                </c:pt>
              </c:strCache>
            </c:strRef>
          </c:tx>
          <c:spPr>
            <a:ln w="25400">
              <a:solidFill>
                <a:srgbClr val="FF0000"/>
              </a:solidFill>
              <a:prstDash val="solid"/>
            </a:ln>
          </c:spPr>
          <c:marker>
            <c:symbol val="none"/>
          </c:marker>
          <c:cat>
            <c:strRef>
              <c:f>DATOS!$B$22:$AC$22</c:f>
              <c:strCache>
                <c:ptCount val="4"/>
                <c:pt idx="0">
                  <c:v>ENE-MAR 2014</c:v>
                </c:pt>
                <c:pt idx="1">
                  <c:v>ABR-JUN 2014</c:v>
                </c:pt>
                <c:pt idx="2">
                  <c:v>JUL-SEP 2014</c:v>
                </c:pt>
                <c:pt idx="3">
                  <c:v>OCT-DIC 2014</c:v>
                </c:pt>
              </c:strCache>
            </c:strRef>
          </c:cat>
          <c:val>
            <c:numRef>
              <c:f>DATOS!$B$26:$AC$26</c:f>
              <c:numCache>
                <c:formatCode>0.00%</c:formatCode>
                <c:ptCount val="4"/>
                <c:pt idx="0">
                  <c:v>1.4000000000000002E-2</c:v>
                </c:pt>
                <c:pt idx="1">
                  <c:v>1.4000000000000002E-2</c:v>
                </c:pt>
                <c:pt idx="2">
                  <c:v>1.4000000000000002E-2</c:v>
                </c:pt>
                <c:pt idx="3">
                  <c:v>1.4000000000000002E-2</c:v>
                </c:pt>
              </c:numCache>
            </c:numRef>
          </c:val>
        </c:ser>
        <c:marker val="1"/>
        <c:axId val="165328384"/>
        <c:axId val="165329920"/>
      </c:lineChart>
      <c:catAx>
        <c:axId val="165328384"/>
        <c:scaling>
          <c:orientation val="minMax"/>
        </c:scaling>
        <c:axPos val="b"/>
        <c:numFmt formatCode="mmm\-yy" sourceLinked="1"/>
        <c:tickLblPos val="nextTo"/>
        <c:spPr>
          <a:ln w="3175">
            <a:solidFill>
              <a:srgbClr val="000000"/>
            </a:solidFill>
            <a:prstDash val="solid"/>
          </a:ln>
        </c:spPr>
        <c:txPr>
          <a:bodyPr rot="-5400000" vert="horz"/>
          <a:lstStyle/>
          <a:p>
            <a:pPr>
              <a:defRPr lang="es-CO" sz="800" b="1" i="0" u="none" strike="noStrike" baseline="0">
                <a:solidFill>
                  <a:srgbClr val="000000"/>
                </a:solidFill>
                <a:latin typeface="Arial"/>
                <a:ea typeface="Arial"/>
                <a:cs typeface="Arial"/>
              </a:defRPr>
            </a:pPr>
            <a:endParaRPr lang="es-ES"/>
          </a:p>
        </c:txPr>
        <c:crossAx val="165329920"/>
        <c:crosses val="autoZero"/>
        <c:auto val="1"/>
        <c:lblAlgn val="ctr"/>
        <c:lblOffset val="100"/>
        <c:tickLblSkip val="1"/>
        <c:tickMarkSkip val="1"/>
      </c:catAx>
      <c:valAx>
        <c:axId val="165329920"/>
        <c:scaling>
          <c:orientation val="minMax"/>
        </c:scaling>
        <c:axPos val="l"/>
        <c:numFmt formatCode="0%" sourceLinked="0"/>
        <c:tickLblPos val="nextTo"/>
        <c:spPr>
          <a:ln w="3175">
            <a:solidFill>
              <a:srgbClr val="000000"/>
            </a:solidFill>
            <a:prstDash val="solid"/>
          </a:ln>
        </c:spPr>
        <c:txPr>
          <a:bodyPr rot="0" vert="horz"/>
          <a:lstStyle/>
          <a:p>
            <a:pPr>
              <a:defRPr lang="es-CO" sz="825" b="0" i="0" u="none" strike="noStrike" baseline="0">
                <a:solidFill>
                  <a:srgbClr val="000000"/>
                </a:solidFill>
                <a:latin typeface="Arial"/>
                <a:ea typeface="Arial"/>
                <a:cs typeface="Arial"/>
              </a:defRPr>
            </a:pPr>
            <a:endParaRPr lang="es-ES"/>
          </a:p>
        </c:txPr>
        <c:crossAx val="165328384"/>
        <c:crosses val="autoZero"/>
        <c:crossBetween val="between"/>
      </c:valAx>
      <c:spPr>
        <a:noFill/>
        <a:ln w="25400">
          <a:noFill/>
        </a:ln>
      </c:spPr>
    </c:plotArea>
    <c:legend>
      <c:legendPos val="r"/>
      <c:layout>
        <c:manualLayout>
          <c:xMode val="edge"/>
          <c:yMode val="edge"/>
          <c:x val="0.73735869354091665"/>
          <c:y val="0.17643470854389601"/>
          <c:w val="0.25710050949513669"/>
          <c:h val="0.73955954692414794"/>
        </c:manualLayout>
      </c:layout>
      <c:spPr>
        <a:solidFill>
          <a:srgbClr val="FFFFFF"/>
        </a:solidFill>
        <a:ln w="25400">
          <a:noFill/>
        </a:ln>
      </c:spPr>
      <c:txPr>
        <a:bodyPr/>
        <a:lstStyle/>
        <a:p>
          <a:pPr>
            <a:defRPr lang="es-CO" sz="73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50"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s-ES"/>
  <c:roundedCorners val="1"/>
  <c:chart>
    <c:title>
      <c:tx>
        <c:rich>
          <a:bodyPr/>
          <a:lstStyle/>
          <a:p>
            <a:pPr>
              <a:defRPr sz="1800" b="1"/>
            </a:pPr>
            <a:r>
              <a:rPr lang="es-CO" sz="1800" b="1"/>
              <a:t>% TASA PROMEDIO CDT´S 90 DIAS</a:t>
            </a:r>
          </a:p>
        </c:rich>
      </c:tx>
    </c:title>
    <c:plotArea>
      <c:layout>
        <c:manualLayout>
          <c:layoutTarget val="inner"/>
          <c:xMode val="edge"/>
          <c:yMode val="edge"/>
          <c:x val="0.10561809341873002"/>
          <c:y val="0.13006645950119644"/>
          <c:w val="0.61552809693854871"/>
          <c:h val="0.54880770281543423"/>
        </c:manualLayout>
      </c:layout>
      <c:barChart>
        <c:barDir val="col"/>
        <c:grouping val="clustered"/>
        <c:ser>
          <c:idx val="0"/>
          <c:order val="0"/>
          <c:tx>
            <c:strRef>
              <c:f>DATOS!$A$29</c:f>
              <c:strCache>
                <c:ptCount val="1"/>
                <c:pt idx="0">
                  <c:v>% TASA PROMEDIO CDT'S 90 DIAS</c:v>
                </c:pt>
              </c:strCache>
            </c:strRef>
          </c:tx>
          <c:spPr>
            <a:solidFill>
              <a:srgbClr val="006600"/>
            </a:solidFill>
            <a:ln w="12700">
              <a:solidFill>
                <a:srgbClr val="000000"/>
              </a:solidFill>
              <a:prstDash val="solid"/>
            </a:ln>
          </c:spPr>
          <c:dLbls>
            <c:dLbl>
              <c:idx val="1"/>
              <c:layout>
                <c:manualLayout>
                  <c:x val="8.0008877770517822E-3"/>
                  <c:y val="-4.5631177085888916E-2"/>
                </c:manualLayout>
              </c:layout>
              <c:dLblPos val="outEnd"/>
              <c:showVal val="1"/>
            </c:dLbl>
            <c:dLbl>
              <c:idx val="2"/>
              <c:layout>
                <c:manualLayout>
                  <c:x val="2.7626469289585741E-4"/>
                  <c:y val="-4.0748712451076412E-2"/>
                </c:manualLayout>
              </c:layout>
              <c:dLblPos val="outEnd"/>
              <c:showVal val="1"/>
            </c:dLbl>
            <c:dLbl>
              <c:idx val="3"/>
              <c:layout>
                <c:manualLayout>
                  <c:x val="-7.0701388584283424E-4"/>
                  <c:y val="-2.6288362227657451E-2"/>
                </c:manualLayout>
              </c:layout>
              <c:dLblPos val="outEnd"/>
              <c:showVal val="1"/>
            </c:dLbl>
            <c:dLbl>
              <c:idx val="4"/>
              <c:layout>
                <c:manualLayout>
                  <c:x val="9.5459108459551925E-3"/>
                  <c:y val="1.9556515501310684E-3"/>
                </c:manualLayout>
              </c:layout>
              <c:dLblPos val="outEnd"/>
              <c:showVal val="1"/>
            </c:dLbl>
            <c:dLbl>
              <c:idx val="5"/>
              <c:layout>
                <c:manualLayout>
                  <c:x val="1.3057019221205005E-2"/>
                  <c:y val="-4.1124234573391802E-2"/>
                </c:manualLayout>
              </c:layout>
              <c:dLblPos val="outEnd"/>
              <c:showVal val="1"/>
            </c:dLbl>
            <c:dLbl>
              <c:idx val="6"/>
              <c:layout>
                <c:manualLayout>
                  <c:x val="-1.0397958201910707E-2"/>
                  <c:y val="-2.4222802875780002E-2"/>
                </c:manualLayout>
              </c:layout>
              <c:dLblPos val="outEnd"/>
              <c:showVal val="1"/>
            </c:dLbl>
            <c:dLbl>
              <c:idx val="7"/>
              <c:layout>
                <c:manualLayout>
                  <c:x val="-1.4503347011257463E-4"/>
                  <c:y val="-2.4896166981128901E-2"/>
                </c:manualLayout>
              </c:layout>
              <c:dLblPos val="outEnd"/>
              <c:showVal val="1"/>
            </c:dLbl>
            <c:dLbl>
              <c:idx val="8"/>
              <c:layout>
                <c:manualLayout>
                  <c:x val="1.4602042290108403E-2"/>
                  <c:y val="-3.5693222521600523E-2"/>
                </c:manualLayout>
              </c:layout>
              <c:dLblPos val="outEnd"/>
              <c:showVal val="1"/>
            </c:dLbl>
            <c:dLbl>
              <c:idx val="9"/>
              <c:layout>
                <c:manualLayout>
                  <c:x val="1.1371806159941E-2"/>
                  <c:y val="-2.7242506672794511E-2"/>
                </c:manualLayout>
              </c:layout>
              <c:dLblPos val="outEnd"/>
              <c:showVal val="1"/>
            </c:dLbl>
            <c:dLbl>
              <c:idx val="10"/>
              <c:layout>
                <c:manualLayout>
                  <c:x val="1.7130108012185175E-2"/>
                  <c:y val="-3.5693222521600523E-2"/>
                </c:manualLayout>
              </c:layout>
              <c:dLblPos val="outEnd"/>
              <c:showVal val="1"/>
            </c:dLbl>
            <c:dLbl>
              <c:idx val="11"/>
              <c:layout>
                <c:manualLayout>
                  <c:x val="4.9110979740407124E-3"/>
                  <c:y val="-4.6960843653341411E-2"/>
                </c:manualLayout>
              </c:layout>
              <c:dLblPos val="outEnd"/>
              <c:showVal val="1"/>
            </c:dLbl>
            <c:dLbl>
              <c:idx val="12"/>
              <c:layout>
                <c:manualLayout>
                  <c:x val="8.4222063492904505E-3"/>
                  <c:y val="-2.4425601389858904E-2"/>
                </c:manualLayout>
              </c:layout>
              <c:dLblPos val="outEnd"/>
              <c:showVal val="1"/>
            </c:dLbl>
            <c:dLbl>
              <c:idx val="13"/>
              <c:layout>
                <c:manualLayout>
                  <c:x val="7.4391636961173638E-3"/>
                  <c:y val="-5.4757976230891084E-2"/>
                </c:manualLayout>
              </c:layout>
              <c:dLblPos val="outEnd"/>
              <c:showVal val="1"/>
            </c:dLbl>
            <c:dLbl>
              <c:idx val="14"/>
              <c:layout>
                <c:manualLayout>
                  <c:x val="-4.7949511928986523E-3"/>
                  <c:y val="-9.313361691857449E-3"/>
                </c:manualLayout>
              </c:layout>
              <c:dLblPos val="outEnd"/>
              <c:showVal val="1"/>
            </c:dLbl>
            <c:dLbl>
              <c:idx val="15"/>
              <c:layout>
                <c:manualLayout>
                  <c:x val="-4.7751334453979034E-3"/>
                  <c:y val="-3.6348990858901302E-2"/>
                </c:manualLayout>
              </c:layout>
              <c:dLblPos val="outEnd"/>
              <c:showVal val="1"/>
            </c:dLbl>
            <c:dLbl>
              <c:idx val="16"/>
              <c:layout>
                <c:manualLayout>
                  <c:xMode val="edge"/>
                  <c:yMode val="edge"/>
                  <c:x val="0.46966343669179583"/>
                  <c:y val="0.24225385433243782"/>
                </c:manualLayout>
              </c:layout>
              <c:dLblPos val="outEnd"/>
              <c:showVal val="1"/>
            </c:dLbl>
            <c:dLbl>
              <c:idx val="17"/>
              <c:layout>
                <c:manualLayout>
                  <c:xMode val="edge"/>
                  <c:yMode val="edge"/>
                  <c:x val="0.52809046709364804"/>
                  <c:y val="0.23943694904950141"/>
                </c:manualLayout>
              </c:layout>
              <c:dLblPos val="outEnd"/>
              <c:showVal val="1"/>
            </c:dLbl>
            <c:dLbl>
              <c:idx val="18"/>
              <c:layout>
                <c:manualLayout>
                  <c:xMode val="edge"/>
                  <c:yMode val="edge"/>
                  <c:x val="0.55505678881757858"/>
                  <c:y val="0.18309884339079596"/>
                </c:manualLayout>
              </c:layout>
              <c:dLblPos val="outEnd"/>
              <c:showVal val="1"/>
            </c:dLbl>
            <c:dLbl>
              <c:idx val="19"/>
              <c:layout>
                <c:manualLayout>
                  <c:xMode val="edge"/>
                  <c:yMode val="edge"/>
                  <c:x val="0.58427030401850399"/>
                  <c:y val="0.225352422634824"/>
                </c:manualLayout>
              </c:layout>
              <c:dLblPos val="outEnd"/>
              <c:showVal val="1"/>
            </c:dLbl>
            <c:numFmt formatCode="0.00%" sourceLinked="0"/>
            <c:spPr>
              <a:noFill/>
              <a:ln w="25400">
                <a:noFill/>
              </a:ln>
            </c:spPr>
            <c:txPr>
              <a:bodyPr/>
              <a:lstStyle/>
              <a:p>
                <a:pPr>
                  <a:defRPr lang="es-CO" sz="800" b="1" i="0" u="none" strike="noStrike" baseline="0">
                    <a:solidFill>
                      <a:srgbClr val="000000"/>
                    </a:solidFill>
                    <a:latin typeface="Arial"/>
                    <a:ea typeface="Arial"/>
                    <a:cs typeface="Arial"/>
                  </a:defRPr>
                </a:pPr>
                <a:endParaRPr lang="es-ES"/>
              </a:p>
            </c:txPr>
            <c:showVal val="1"/>
          </c:dLbls>
          <c:cat>
            <c:strRef>
              <c:f>DATOS!$B$28:$AC$28</c:f>
              <c:strCache>
                <c:ptCount val="4"/>
                <c:pt idx="0">
                  <c:v>ENE-MAR 2014</c:v>
                </c:pt>
                <c:pt idx="1">
                  <c:v>ABR-JUN 2014</c:v>
                </c:pt>
                <c:pt idx="2">
                  <c:v>JUL-SEP 2014</c:v>
                </c:pt>
                <c:pt idx="3">
                  <c:v>OCT-DIC 2014</c:v>
                </c:pt>
              </c:strCache>
            </c:strRef>
          </c:cat>
          <c:val>
            <c:numRef>
              <c:f>DATOS!$B$29:$AC$29</c:f>
              <c:numCache>
                <c:formatCode>0.00%</c:formatCode>
                <c:ptCount val="4"/>
                <c:pt idx="0">
                  <c:v>4.4500000000000033E-2</c:v>
                </c:pt>
                <c:pt idx="1">
                  <c:v>4.4500000000000033E-2</c:v>
                </c:pt>
                <c:pt idx="2">
                  <c:v>4.5600000000000009E-2</c:v>
                </c:pt>
                <c:pt idx="3">
                  <c:v>4.5600000000000009E-2</c:v>
                </c:pt>
              </c:numCache>
            </c:numRef>
          </c:val>
        </c:ser>
        <c:gapWidth val="80"/>
        <c:axId val="165406592"/>
        <c:axId val="165408128"/>
      </c:barChart>
      <c:lineChart>
        <c:grouping val="standard"/>
        <c:ser>
          <c:idx val="1"/>
          <c:order val="1"/>
          <c:tx>
            <c:strRef>
              <c:f>DATOS!$A$30</c:f>
              <c:strCache>
                <c:ptCount val="1"/>
                <c:pt idx="0">
                  <c:v>EXCELENTE</c:v>
                </c:pt>
              </c:strCache>
            </c:strRef>
          </c:tx>
          <c:spPr>
            <a:ln w="25400">
              <a:solidFill>
                <a:srgbClr val="92D050"/>
              </a:solidFill>
              <a:prstDash val="solid"/>
            </a:ln>
          </c:spPr>
          <c:marker>
            <c:symbol val="none"/>
          </c:marker>
          <c:cat>
            <c:strRef>
              <c:f>DATOS!$B$28:$AC$28</c:f>
              <c:strCache>
                <c:ptCount val="4"/>
                <c:pt idx="0">
                  <c:v>ENE-MAR 2014</c:v>
                </c:pt>
                <c:pt idx="1">
                  <c:v>ABR-JUN 2014</c:v>
                </c:pt>
                <c:pt idx="2">
                  <c:v>JUL-SEP 2014</c:v>
                </c:pt>
                <c:pt idx="3">
                  <c:v>OCT-DIC 2014</c:v>
                </c:pt>
              </c:strCache>
            </c:strRef>
          </c:cat>
          <c:val>
            <c:numRef>
              <c:f>DATOS!$B$30:$AC$30</c:f>
              <c:numCache>
                <c:formatCode>0.00%</c:formatCode>
                <c:ptCount val="4"/>
                <c:pt idx="0">
                  <c:v>4.6000000000000013E-2</c:v>
                </c:pt>
                <c:pt idx="1">
                  <c:v>4.6000000000000013E-2</c:v>
                </c:pt>
                <c:pt idx="2">
                  <c:v>4.6500000000000007E-2</c:v>
                </c:pt>
                <c:pt idx="3">
                  <c:v>4.6500000000000007E-2</c:v>
                </c:pt>
              </c:numCache>
            </c:numRef>
          </c:val>
        </c:ser>
        <c:ser>
          <c:idx val="2"/>
          <c:order val="2"/>
          <c:tx>
            <c:strRef>
              <c:f>DATOS!$A$31</c:f>
              <c:strCache>
                <c:ptCount val="1"/>
                <c:pt idx="0">
                  <c:v>REGULAR</c:v>
                </c:pt>
              </c:strCache>
            </c:strRef>
          </c:tx>
          <c:spPr>
            <a:ln w="25400">
              <a:solidFill>
                <a:srgbClr val="00B0F0"/>
              </a:solidFill>
              <a:prstDash val="solid"/>
            </a:ln>
          </c:spPr>
          <c:marker>
            <c:symbol val="none"/>
          </c:marker>
          <c:cat>
            <c:strRef>
              <c:f>DATOS!$B$28:$AC$28</c:f>
              <c:strCache>
                <c:ptCount val="4"/>
                <c:pt idx="0">
                  <c:v>ENE-MAR 2014</c:v>
                </c:pt>
                <c:pt idx="1">
                  <c:v>ABR-JUN 2014</c:v>
                </c:pt>
                <c:pt idx="2">
                  <c:v>JUL-SEP 2014</c:v>
                </c:pt>
                <c:pt idx="3">
                  <c:v>OCT-DIC 2014</c:v>
                </c:pt>
              </c:strCache>
            </c:strRef>
          </c:cat>
          <c:val>
            <c:numRef>
              <c:f>DATOS!$B$31:$AC$31</c:f>
              <c:numCache>
                <c:formatCode>0.00%</c:formatCode>
                <c:ptCount val="4"/>
                <c:pt idx="0">
                  <c:v>4.4500000000000033E-2</c:v>
                </c:pt>
                <c:pt idx="1">
                  <c:v>4.4500000000000033E-2</c:v>
                </c:pt>
                <c:pt idx="2">
                  <c:v>4.4500000000000033E-2</c:v>
                </c:pt>
                <c:pt idx="3">
                  <c:v>4.4500000000000033E-2</c:v>
                </c:pt>
              </c:numCache>
            </c:numRef>
          </c:val>
        </c:ser>
        <c:ser>
          <c:idx val="3"/>
          <c:order val="3"/>
          <c:tx>
            <c:strRef>
              <c:f>DATOS!$A$32</c:f>
              <c:strCache>
                <c:ptCount val="1"/>
                <c:pt idx="0">
                  <c:v>DEFICIENTE</c:v>
                </c:pt>
              </c:strCache>
            </c:strRef>
          </c:tx>
          <c:spPr>
            <a:ln w="25400">
              <a:solidFill>
                <a:srgbClr val="FF0000"/>
              </a:solidFill>
              <a:prstDash val="solid"/>
            </a:ln>
          </c:spPr>
          <c:marker>
            <c:symbol val="none"/>
          </c:marker>
          <c:cat>
            <c:strRef>
              <c:f>DATOS!$B$28:$AC$28</c:f>
              <c:strCache>
                <c:ptCount val="4"/>
                <c:pt idx="0">
                  <c:v>ENE-MAR 2014</c:v>
                </c:pt>
                <c:pt idx="1">
                  <c:v>ABR-JUN 2014</c:v>
                </c:pt>
                <c:pt idx="2">
                  <c:v>JUL-SEP 2014</c:v>
                </c:pt>
                <c:pt idx="3">
                  <c:v>OCT-DIC 2014</c:v>
                </c:pt>
              </c:strCache>
            </c:strRef>
          </c:cat>
          <c:val>
            <c:numRef>
              <c:f>DATOS!$B$32:$AC$32</c:f>
              <c:numCache>
                <c:formatCode>0.00%</c:formatCode>
                <c:ptCount val="4"/>
                <c:pt idx="0">
                  <c:v>4.300000000000001E-2</c:v>
                </c:pt>
                <c:pt idx="1">
                  <c:v>4.300000000000001E-2</c:v>
                </c:pt>
                <c:pt idx="2">
                  <c:v>4.300000000000001E-2</c:v>
                </c:pt>
                <c:pt idx="3">
                  <c:v>4.300000000000001E-2</c:v>
                </c:pt>
              </c:numCache>
            </c:numRef>
          </c:val>
        </c:ser>
        <c:marker val="1"/>
        <c:axId val="165406592"/>
        <c:axId val="165408128"/>
      </c:lineChart>
      <c:catAx>
        <c:axId val="165406592"/>
        <c:scaling>
          <c:orientation val="minMax"/>
        </c:scaling>
        <c:axPos val="b"/>
        <c:numFmt formatCode="mmm\-yy" sourceLinked="1"/>
        <c:tickLblPos val="nextTo"/>
        <c:spPr>
          <a:ln w="3175">
            <a:solidFill>
              <a:srgbClr val="000000"/>
            </a:solidFill>
            <a:prstDash val="solid"/>
          </a:ln>
        </c:spPr>
        <c:txPr>
          <a:bodyPr rot="-5400000" vert="horz"/>
          <a:lstStyle/>
          <a:p>
            <a:pPr>
              <a:defRPr lang="es-CO" sz="800" b="1" i="0" u="none" strike="noStrike" baseline="0">
                <a:solidFill>
                  <a:srgbClr val="000000"/>
                </a:solidFill>
                <a:latin typeface="Arial"/>
                <a:ea typeface="Arial"/>
                <a:cs typeface="Arial"/>
              </a:defRPr>
            </a:pPr>
            <a:endParaRPr lang="es-ES"/>
          </a:p>
        </c:txPr>
        <c:crossAx val="165408128"/>
        <c:crosses val="autoZero"/>
        <c:auto val="1"/>
        <c:lblAlgn val="ctr"/>
        <c:lblOffset val="100"/>
        <c:tickLblSkip val="1"/>
        <c:tickMarkSkip val="1"/>
      </c:catAx>
      <c:valAx>
        <c:axId val="165408128"/>
        <c:scaling>
          <c:orientation val="minMax"/>
        </c:scaling>
        <c:axPos val="l"/>
        <c:numFmt formatCode="0%" sourceLinked="0"/>
        <c:tickLblPos val="nextTo"/>
        <c:spPr>
          <a:ln w="3175">
            <a:solidFill>
              <a:srgbClr val="000000"/>
            </a:solidFill>
            <a:prstDash val="solid"/>
          </a:ln>
        </c:spPr>
        <c:txPr>
          <a:bodyPr rot="0" vert="horz"/>
          <a:lstStyle/>
          <a:p>
            <a:pPr>
              <a:defRPr lang="es-CO" sz="825" b="0" i="0" u="none" strike="noStrike" baseline="0">
                <a:solidFill>
                  <a:srgbClr val="000000"/>
                </a:solidFill>
                <a:latin typeface="Arial"/>
                <a:ea typeface="Arial"/>
                <a:cs typeface="Arial"/>
              </a:defRPr>
            </a:pPr>
            <a:endParaRPr lang="es-ES"/>
          </a:p>
        </c:txPr>
        <c:crossAx val="165406592"/>
        <c:crosses val="autoZero"/>
        <c:crossBetween val="between"/>
      </c:valAx>
      <c:spPr>
        <a:noFill/>
        <a:ln w="25400">
          <a:noFill/>
        </a:ln>
      </c:spPr>
    </c:plotArea>
    <c:legend>
      <c:legendPos val="r"/>
      <c:layout>
        <c:manualLayout>
          <c:xMode val="edge"/>
          <c:yMode val="edge"/>
          <c:x val="0.77024926912599079"/>
          <c:y val="0.20890475501733496"/>
          <c:w val="0.19832240135068507"/>
          <c:h val="0.70708950045070962"/>
        </c:manualLayout>
      </c:layout>
      <c:spPr>
        <a:solidFill>
          <a:srgbClr val="FFFFFF"/>
        </a:solidFill>
        <a:ln w="25400">
          <a:noFill/>
        </a:ln>
      </c:spPr>
      <c:txPr>
        <a:bodyPr/>
        <a:lstStyle/>
        <a:p>
          <a:pPr>
            <a:defRPr lang="es-CO" sz="73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CO"/>
            </a:pPr>
            <a:r>
              <a:rPr lang="en-US"/>
              <a:t>SEGURIDAD</a:t>
            </a:r>
          </a:p>
        </c:rich>
      </c:tx>
    </c:title>
    <c:view3D>
      <c:rAngAx val="1"/>
    </c:view3D>
    <c:plotArea>
      <c:layout/>
      <c:bar3DChart>
        <c:barDir val="col"/>
        <c:grouping val="clustered"/>
        <c:ser>
          <c:idx val="0"/>
          <c:order val="0"/>
          <c:tx>
            <c:strRef>
              <c:f>Hoja1!$B$18</c:f>
              <c:strCache>
                <c:ptCount val="1"/>
                <c:pt idx="0">
                  <c:v>EL COMPORTAMIENTO DE LOS FUNCIONARIOS TRANSMITE CONFIANZA A LOS CLIENTES</c:v>
                </c:pt>
              </c:strCache>
            </c:strRef>
          </c:tx>
          <c:cat>
            <c:strRef>
              <c:f>Hoja1!$C$17:$G$17</c:f>
              <c:strCache>
                <c:ptCount val="5"/>
                <c:pt idx="0">
                  <c:v>DEFICIENTE</c:v>
                </c:pt>
                <c:pt idx="1">
                  <c:v>REGULAR</c:v>
                </c:pt>
                <c:pt idx="2">
                  <c:v>BUENO</c:v>
                </c:pt>
                <c:pt idx="3">
                  <c:v>EXCELENTE</c:v>
                </c:pt>
                <c:pt idx="4">
                  <c:v>NO RESPONDE</c:v>
                </c:pt>
              </c:strCache>
            </c:strRef>
          </c:cat>
          <c:val>
            <c:numRef>
              <c:f>Hoja1!$C$18:$G$18</c:f>
              <c:numCache>
                <c:formatCode>General</c:formatCode>
                <c:ptCount val="5"/>
                <c:pt idx="0">
                  <c:v>0</c:v>
                </c:pt>
                <c:pt idx="1">
                  <c:v>0</c:v>
                </c:pt>
                <c:pt idx="2">
                  <c:v>7</c:v>
                </c:pt>
                <c:pt idx="3">
                  <c:v>3</c:v>
                </c:pt>
                <c:pt idx="4">
                  <c:v>0</c:v>
                </c:pt>
              </c:numCache>
            </c:numRef>
          </c:val>
        </c:ser>
        <c:ser>
          <c:idx val="1"/>
          <c:order val="1"/>
          <c:tx>
            <c:strRef>
              <c:f>Hoja1!$B$19</c:f>
              <c:strCache>
                <c:ptCount val="1"/>
                <c:pt idx="0">
                  <c:v>COMO CLIENTE SE SIENTE SEGURO DE LAS TRANSACCIONES QUE REALIZA EN EL INSTITUTO</c:v>
                </c:pt>
              </c:strCache>
            </c:strRef>
          </c:tx>
          <c:dLbls>
            <c:txPr>
              <a:bodyPr/>
              <a:lstStyle/>
              <a:p>
                <a:pPr>
                  <a:defRPr lang="es-CO"/>
                </a:pPr>
                <a:endParaRPr lang="es-ES"/>
              </a:p>
            </c:txPr>
            <c:showVal val="1"/>
          </c:dLbls>
          <c:cat>
            <c:strRef>
              <c:f>Hoja1!$C$17:$G$17</c:f>
              <c:strCache>
                <c:ptCount val="5"/>
                <c:pt idx="0">
                  <c:v>DEFICIENTE</c:v>
                </c:pt>
                <c:pt idx="1">
                  <c:v>REGULAR</c:v>
                </c:pt>
                <c:pt idx="2">
                  <c:v>BUENO</c:v>
                </c:pt>
                <c:pt idx="3">
                  <c:v>EXCELENTE</c:v>
                </c:pt>
                <c:pt idx="4">
                  <c:v>NO RESPONDE</c:v>
                </c:pt>
              </c:strCache>
            </c:strRef>
          </c:cat>
          <c:val>
            <c:numRef>
              <c:f>Hoja1!$C$19:$G$19</c:f>
              <c:numCache>
                <c:formatCode>General</c:formatCode>
                <c:ptCount val="5"/>
                <c:pt idx="0">
                  <c:v>0</c:v>
                </c:pt>
                <c:pt idx="1">
                  <c:v>0</c:v>
                </c:pt>
                <c:pt idx="2">
                  <c:v>7</c:v>
                </c:pt>
                <c:pt idx="3">
                  <c:v>3</c:v>
                </c:pt>
                <c:pt idx="4">
                  <c:v>0</c:v>
                </c:pt>
              </c:numCache>
            </c:numRef>
          </c:val>
        </c:ser>
        <c:ser>
          <c:idx val="2"/>
          <c:order val="2"/>
          <c:tx>
            <c:strRef>
              <c:f>Hoja1!$B$20</c:f>
              <c:strCache>
                <c:ptCount val="1"/>
                <c:pt idx="0">
                  <c:v>COMO CALIFICA LA ATENCION DE LOS FUNCIONARIOS EN LA ENTIDAD</c:v>
                </c:pt>
              </c:strCache>
            </c:strRef>
          </c:tx>
          <c:cat>
            <c:strRef>
              <c:f>Hoja1!$C$17:$G$17</c:f>
              <c:strCache>
                <c:ptCount val="5"/>
                <c:pt idx="0">
                  <c:v>DEFICIENTE</c:v>
                </c:pt>
                <c:pt idx="1">
                  <c:v>REGULAR</c:v>
                </c:pt>
                <c:pt idx="2">
                  <c:v>BUENO</c:v>
                </c:pt>
                <c:pt idx="3">
                  <c:v>EXCELENTE</c:v>
                </c:pt>
                <c:pt idx="4">
                  <c:v>NO RESPONDE</c:v>
                </c:pt>
              </c:strCache>
            </c:strRef>
          </c:cat>
          <c:val>
            <c:numRef>
              <c:f>Hoja1!$C$20:$G$20</c:f>
              <c:numCache>
                <c:formatCode>General</c:formatCode>
                <c:ptCount val="5"/>
                <c:pt idx="0">
                  <c:v>0</c:v>
                </c:pt>
                <c:pt idx="1">
                  <c:v>0</c:v>
                </c:pt>
                <c:pt idx="2">
                  <c:v>7</c:v>
                </c:pt>
                <c:pt idx="3">
                  <c:v>3</c:v>
                </c:pt>
                <c:pt idx="4">
                  <c:v>0</c:v>
                </c:pt>
              </c:numCache>
            </c:numRef>
          </c:val>
        </c:ser>
        <c:shape val="box"/>
        <c:axId val="129488384"/>
        <c:axId val="129489920"/>
        <c:axId val="0"/>
      </c:bar3DChart>
      <c:catAx>
        <c:axId val="129488384"/>
        <c:scaling>
          <c:orientation val="minMax"/>
        </c:scaling>
        <c:axPos val="b"/>
        <c:majorTickMark val="none"/>
        <c:tickLblPos val="nextTo"/>
        <c:txPr>
          <a:bodyPr/>
          <a:lstStyle/>
          <a:p>
            <a:pPr>
              <a:defRPr lang="es-CO"/>
            </a:pPr>
            <a:endParaRPr lang="es-ES"/>
          </a:p>
        </c:txPr>
        <c:crossAx val="129489920"/>
        <c:crosses val="autoZero"/>
        <c:auto val="1"/>
        <c:lblAlgn val="ctr"/>
        <c:lblOffset val="100"/>
      </c:catAx>
      <c:valAx>
        <c:axId val="129489920"/>
        <c:scaling>
          <c:orientation val="minMax"/>
        </c:scaling>
        <c:axPos val="l"/>
        <c:majorGridlines/>
        <c:numFmt formatCode="General" sourceLinked="1"/>
        <c:majorTickMark val="none"/>
        <c:tickLblPos val="nextTo"/>
        <c:txPr>
          <a:bodyPr/>
          <a:lstStyle/>
          <a:p>
            <a:pPr>
              <a:defRPr lang="es-CO"/>
            </a:pPr>
            <a:endParaRPr lang="es-ES"/>
          </a:p>
        </c:txPr>
        <c:crossAx val="129488384"/>
        <c:crosses val="autoZero"/>
        <c:crossBetween val="between"/>
      </c:valAx>
    </c:plotArea>
    <c:legend>
      <c:legendPos val="r"/>
      <c:txPr>
        <a:bodyPr/>
        <a:lstStyle/>
        <a:p>
          <a:pPr>
            <a:defRPr lang="es-CO"/>
          </a:pPr>
          <a:endParaRPr lang="es-ES"/>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0563404497241272"/>
          <c:y val="0.15259740259740692"/>
          <c:w val="0.88497855454664198"/>
          <c:h val="0.69155844155844204"/>
        </c:manualLayout>
      </c:layout>
      <c:barChart>
        <c:barDir val="col"/>
        <c:grouping val="clustered"/>
        <c:ser>
          <c:idx val="0"/>
          <c:order val="0"/>
          <c:tx>
            <c:strRef>
              <c:f>'DATOS CALCULO INDICADORES'!$B$10</c:f>
              <c:strCache>
                <c:ptCount val="1"/>
                <c:pt idx="0">
                  <c:v>Gastos operacionales/Total activos</c:v>
                </c:pt>
              </c:strCache>
            </c:strRef>
          </c:tx>
          <c:spPr>
            <a:gradFill>
              <a:gsLst>
                <a:gs pos="0">
                  <a:srgbClr val="03D4A8"/>
                </a:gs>
                <a:gs pos="25000">
                  <a:srgbClr val="21D6E0"/>
                </a:gs>
                <a:gs pos="75000">
                  <a:srgbClr val="0087E6"/>
                </a:gs>
                <a:gs pos="100000">
                  <a:srgbClr val="005CBF"/>
                </a:gs>
              </a:gsLst>
              <a:lin ang="5400000" scaled="0"/>
            </a:gradFill>
            <a:ln w="12700">
              <a:solidFill>
                <a:srgbClr val="0070C0"/>
              </a:solidFill>
              <a:prstDash val="solid"/>
            </a:ln>
            <a:scene3d>
              <a:camera prst="orthographicFront"/>
              <a:lightRig rig="threePt" dir="t"/>
            </a:scene3d>
            <a:sp3d>
              <a:bevelT/>
            </a:sp3d>
          </c:spPr>
          <c:dLbls>
            <c:spPr>
              <a:noFill/>
              <a:ln w="25400">
                <a:noFill/>
              </a:ln>
            </c:spPr>
            <c:txPr>
              <a:bodyPr/>
              <a:lstStyle/>
              <a:p>
                <a:pPr>
                  <a:defRPr lang="es-ES" sz="800" b="1" i="0" u="none" strike="noStrike" baseline="0">
                    <a:solidFill>
                      <a:srgbClr val="000000"/>
                    </a:solidFill>
                    <a:latin typeface="Arial"/>
                    <a:ea typeface="Arial"/>
                    <a:cs typeface="Arial"/>
                  </a:defRPr>
                </a:pPr>
                <a:endParaRPr lang="es-ES"/>
              </a:p>
            </c:txPr>
            <c:dLblPos val="outEnd"/>
            <c:showVal val="1"/>
          </c:dLbls>
          <c:cat>
            <c:strRef>
              <c:f>'DATOS CALCULO INDICADORES'!$C$9:$AL$9</c:f>
              <c:strCache>
                <c:ptCount val="5"/>
                <c:pt idx="0">
                  <c:v>DIC 2010</c:v>
                </c:pt>
                <c:pt idx="1">
                  <c:v>DIC 2011</c:v>
                </c:pt>
                <c:pt idx="2">
                  <c:v>DIC 2012</c:v>
                </c:pt>
                <c:pt idx="3">
                  <c:v>DIC 2013</c:v>
                </c:pt>
                <c:pt idx="4">
                  <c:v>DIC 2014</c:v>
                </c:pt>
              </c:strCache>
            </c:strRef>
          </c:cat>
          <c:val>
            <c:numRef>
              <c:f>'DATOS CALCULO INDICADORES'!$C$10:$AL$10</c:f>
              <c:numCache>
                <c:formatCode>0.00%</c:formatCode>
                <c:ptCount val="5"/>
                <c:pt idx="0">
                  <c:v>4.0579100711861285E-2</c:v>
                </c:pt>
                <c:pt idx="1">
                  <c:v>3.4458892308598506E-2</c:v>
                </c:pt>
                <c:pt idx="2">
                  <c:v>3.2065392856094728E-2</c:v>
                </c:pt>
                <c:pt idx="3">
                  <c:v>3.4855495205525409E-2</c:v>
                </c:pt>
                <c:pt idx="4">
                  <c:v>3.768293857115379E-2</c:v>
                </c:pt>
              </c:numCache>
            </c:numRef>
          </c:val>
        </c:ser>
        <c:gapWidth val="50"/>
        <c:axId val="165492992"/>
        <c:axId val="165507072"/>
      </c:barChart>
      <c:lineChart>
        <c:grouping val="standard"/>
        <c:ser>
          <c:idx val="1"/>
          <c:order val="1"/>
          <c:tx>
            <c:strRef>
              <c:f>'DATOS CALCULO INDICADORES'!$B$11</c:f>
              <c:strCache>
                <c:ptCount val="1"/>
                <c:pt idx="0">
                  <c:v>EXCELENTE</c:v>
                </c:pt>
              </c:strCache>
            </c:strRef>
          </c:tx>
          <c:spPr>
            <a:ln w="25400">
              <a:solidFill>
                <a:srgbClr val="008000"/>
              </a:solidFill>
              <a:prstDash val="solid"/>
            </a:ln>
          </c:spPr>
          <c:marker>
            <c:symbol val="none"/>
          </c:marker>
          <c:cat>
            <c:strRef>
              <c:f>'DATOS CALCULO INDICADORES'!$C$9:$AL$9</c:f>
              <c:strCache>
                <c:ptCount val="5"/>
                <c:pt idx="0">
                  <c:v>DIC 2010</c:v>
                </c:pt>
                <c:pt idx="1">
                  <c:v>DIC 2011</c:v>
                </c:pt>
                <c:pt idx="2">
                  <c:v>DIC 2012</c:v>
                </c:pt>
                <c:pt idx="3">
                  <c:v>DIC 2013</c:v>
                </c:pt>
                <c:pt idx="4">
                  <c:v>DIC 2014</c:v>
                </c:pt>
              </c:strCache>
            </c:strRef>
          </c:cat>
          <c:val>
            <c:numRef>
              <c:f>'DATOS CALCULO INDICADORES'!$C$11:$AL$11</c:f>
              <c:numCache>
                <c:formatCode>0.00%</c:formatCode>
                <c:ptCount val="5"/>
                <c:pt idx="0">
                  <c:v>1.9224067949179323E-2</c:v>
                </c:pt>
                <c:pt idx="1">
                  <c:v>1.9224067949179323E-2</c:v>
                </c:pt>
                <c:pt idx="2">
                  <c:v>1.9224067949179323E-2</c:v>
                </c:pt>
                <c:pt idx="3">
                  <c:v>1.9224067949179323E-2</c:v>
                </c:pt>
                <c:pt idx="4">
                  <c:v>1.9224067949179323E-2</c:v>
                </c:pt>
              </c:numCache>
            </c:numRef>
          </c:val>
        </c:ser>
        <c:ser>
          <c:idx val="2"/>
          <c:order val="2"/>
          <c:tx>
            <c:strRef>
              <c:f>'DATOS CALCULO INDICADORES'!$B$12</c:f>
              <c:strCache>
                <c:ptCount val="1"/>
                <c:pt idx="0">
                  <c:v>REGULAR</c:v>
                </c:pt>
              </c:strCache>
            </c:strRef>
          </c:tx>
          <c:spPr>
            <a:ln w="25400">
              <a:solidFill>
                <a:srgbClr val="0000FF"/>
              </a:solidFill>
              <a:prstDash val="solid"/>
            </a:ln>
          </c:spPr>
          <c:marker>
            <c:symbol val="none"/>
          </c:marker>
          <c:cat>
            <c:strRef>
              <c:f>'DATOS CALCULO INDICADORES'!$C$9:$AL$9</c:f>
              <c:strCache>
                <c:ptCount val="5"/>
                <c:pt idx="0">
                  <c:v>DIC 2010</c:v>
                </c:pt>
                <c:pt idx="1">
                  <c:v>DIC 2011</c:v>
                </c:pt>
                <c:pt idx="2">
                  <c:v>DIC 2012</c:v>
                </c:pt>
                <c:pt idx="3">
                  <c:v>DIC 2013</c:v>
                </c:pt>
                <c:pt idx="4">
                  <c:v>DIC 2014</c:v>
                </c:pt>
              </c:strCache>
            </c:strRef>
          </c:cat>
          <c:val>
            <c:numRef>
              <c:f>'DATOS CALCULO INDICADORES'!$C$12:$AL$12</c:f>
              <c:numCache>
                <c:formatCode>0.00%</c:formatCode>
                <c:ptCount val="5"/>
                <c:pt idx="0">
                  <c:v>2.5632090598905821E-2</c:v>
                </c:pt>
                <c:pt idx="1">
                  <c:v>2.5632090598905821E-2</c:v>
                </c:pt>
                <c:pt idx="2">
                  <c:v>2.5632090598905821E-2</c:v>
                </c:pt>
                <c:pt idx="3">
                  <c:v>2.5632090598905821E-2</c:v>
                </c:pt>
                <c:pt idx="4">
                  <c:v>2.5632090598905821E-2</c:v>
                </c:pt>
              </c:numCache>
            </c:numRef>
          </c:val>
        </c:ser>
        <c:ser>
          <c:idx val="3"/>
          <c:order val="3"/>
          <c:tx>
            <c:strRef>
              <c:f>'DATOS CALCULO INDICADORES'!$B$13</c:f>
              <c:strCache>
                <c:ptCount val="1"/>
                <c:pt idx="0">
                  <c:v>DEFICIENTE</c:v>
                </c:pt>
              </c:strCache>
            </c:strRef>
          </c:tx>
          <c:spPr>
            <a:ln w="25400">
              <a:solidFill>
                <a:srgbClr val="FF0000"/>
              </a:solidFill>
              <a:prstDash val="solid"/>
            </a:ln>
          </c:spPr>
          <c:marker>
            <c:symbol val="none"/>
          </c:marker>
          <c:cat>
            <c:strRef>
              <c:f>'DATOS CALCULO INDICADORES'!$C$9:$AL$9</c:f>
              <c:strCache>
                <c:ptCount val="5"/>
                <c:pt idx="0">
                  <c:v>DIC 2010</c:v>
                </c:pt>
                <c:pt idx="1">
                  <c:v>DIC 2011</c:v>
                </c:pt>
                <c:pt idx="2">
                  <c:v>DIC 2012</c:v>
                </c:pt>
                <c:pt idx="3">
                  <c:v>DIC 2013</c:v>
                </c:pt>
                <c:pt idx="4">
                  <c:v>DIC 2014</c:v>
                </c:pt>
              </c:strCache>
            </c:strRef>
          </c:cat>
          <c:val>
            <c:numRef>
              <c:f>'DATOS CALCULO INDICADORES'!$C$13:$AL$13</c:f>
              <c:numCache>
                <c:formatCode>0.00%</c:formatCode>
                <c:ptCount val="5"/>
                <c:pt idx="0">
                  <c:v>3.2040113248632214E-2</c:v>
                </c:pt>
                <c:pt idx="1">
                  <c:v>3.2040113248632214E-2</c:v>
                </c:pt>
                <c:pt idx="2">
                  <c:v>3.2040113248632214E-2</c:v>
                </c:pt>
                <c:pt idx="3">
                  <c:v>3.2040113248632214E-2</c:v>
                </c:pt>
                <c:pt idx="4">
                  <c:v>3.2040113248632214E-2</c:v>
                </c:pt>
              </c:numCache>
            </c:numRef>
          </c:val>
        </c:ser>
        <c:marker val="1"/>
        <c:axId val="165492992"/>
        <c:axId val="165507072"/>
      </c:lineChart>
      <c:catAx>
        <c:axId val="165492992"/>
        <c:scaling>
          <c:orientation val="minMax"/>
        </c:scaling>
        <c:axPos val="b"/>
        <c:numFmt formatCode="@" sourceLinked="1"/>
        <c:tickLblPos val="nextTo"/>
        <c:spPr>
          <a:ln w="3175">
            <a:solidFill>
              <a:srgbClr val="000000"/>
            </a:solidFill>
            <a:prstDash val="solid"/>
          </a:ln>
        </c:spPr>
        <c:txPr>
          <a:bodyPr rot="0" vert="horz"/>
          <a:lstStyle/>
          <a:p>
            <a:pPr>
              <a:defRPr lang="es-ES" sz="600" b="1" i="0" u="none" strike="noStrike" baseline="0">
                <a:solidFill>
                  <a:srgbClr val="000000"/>
                </a:solidFill>
                <a:latin typeface="Arial"/>
                <a:ea typeface="Arial"/>
                <a:cs typeface="Arial"/>
              </a:defRPr>
            </a:pPr>
            <a:endParaRPr lang="es-ES"/>
          </a:p>
        </c:txPr>
        <c:crossAx val="165507072"/>
        <c:crosses val="autoZero"/>
        <c:auto val="1"/>
        <c:lblAlgn val="ctr"/>
        <c:lblOffset val="100"/>
        <c:tickLblSkip val="1"/>
        <c:tickMarkSkip val="1"/>
      </c:catAx>
      <c:valAx>
        <c:axId val="165507072"/>
        <c:scaling>
          <c:orientation val="minMax"/>
          <c:max val="0.1"/>
          <c:min val="0"/>
        </c:scaling>
        <c:axPos val="l"/>
        <c:numFmt formatCode="0%" sourceLinked="0"/>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ES"/>
          </a:p>
        </c:txPr>
        <c:crossAx val="165492992"/>
        <c:crosses val="autoZero"/>
        <c:crossBetween val="between"/>
        <c:majorUnit val="2.0000000000000011E-2"/>
        <c:minorUnit val="1.0000000000000005E-2"/>
      </c:valAx>
      <c:spPr>
        <a:noFill/>
        <a:ln w="25400">
          <a:noFill/>
        </a:ln>
      </c:spPr>
    </c:plotArea>
    <c:legend>
      <c:legendPos val="r"/>
      <c:legendEntry>
        <c:idx val="0"/>
        <c:txPr>
          <a:bodyPr/>
          <a:lstStyle/>
          <a:p>
            <a:pPr>
              <a:defRPr sz="800" b="1" i="0" u="none" strike="noStrike" baseline="0">
                <a:solidFill>
                  <a:srgbClr val="000000"/>
                </a:solidFill>
                <a:latin typeface="Arial"/>
                <a:ea typeface="Arial"/>
                <a:cs typeface="Arial"/>
              </a:defRPr>
            </a:pPr>
            <a:endParaRPr lang="es-ES"/>
          </a:p>
        </c:txPr>
      </c:legendEntry>
      <c:layout>
        <c:manualLayout>
          <c:xMode val="edge"/>
          <c:yMode val="edge"/>
          <c:x val="0.19014128095034041"/>
          <c:y val="2.5974025974026042E-2"/>
          <c:w val="0.67214570009734864"/>
          <c:h val="0.20779220779221108"/>
        </c:manualLayout>
      </c:layout>
      <c:spPr>
        <a:solidFill>
          <a:srgbClr val="FFFFFF"/>
        </a:solidFill>
        <a:ln w="3175">
          <a:solidFill>
            <a:srgbClr val="000000"/>
          </a:solidFill>
          <a:prstDash val="solid"/>
        </a:ln>
      </c:spPr>
      <c:txPr>
        <a:bodyPr/>
        <a:lstStyle/>
        <a:p>
          <a:pPr>
            <a:defRPr lang="es-ES" sz="7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0588235294117702"/>
          <c:y val="0.201954718601637"/>
          <c:w val="0.88470588235294101"/>
          <c:h val="0.64169483168585995"/>
        </c:manualLayout>
      </c:layout>
      <c:barChart>
        <c:barDir val="col"/>
        <c:grouping val="clustered"/>
        <c:ser>
          <c:idx val="0"/>
          <c:order val="0"/>
          <c:tx>
            <c:strRef>
              <c:f>'DATOS CALCULO INDICADORES'!$B$5</c:f>
              <c:strCache>
                <c:ptCount val="1"/>
                <c:pt idx="0">
                  <c:v>Ingreso neto de intereses/Total activos</c:v>
                </c:pt>
              </c:strCache>
            </c:strRef>
          </c:tx>
          <c:spPr>
            <a:gradFill rotWithShape="0">
              <a:gsLst>
                <a:gs pos="0">
                  <a:schemeClr val="bg2">
                    <a:lumMod val="50000"/>
                  </a:schemeClr>
                </a:gs>
                <a:gs pos="100000">
                  <a:srgbClr val="000080">
                    <a:gamma/>
                    <a:shade val="46275"/>
                    <a:invGamma/>
                  </a:srgbClr>
                </a:gs>
              </a:gsLst>
              <a:lin ang="5400000" scaled="1"/>
            </a:gradFill>
            <a:ln w="12700">
              <a:solidFill>
                <a:srgbClr val="000000"/>
              </a:solidFill>
              <a:prstDash val="solid"/>
            </a:ln>
            <a:effectLst>
              <a:outerShdw blurRad="50800" dist="38100" dir="10800000" algn="r" rotWithShape="0">
                <a:schemeClr val="accent3">
                  <a:lumMod val="40000"/>
                  <a:lumOff val="60000"/>
                  <a:alpha val="40000"/>
                </a:schemeClr>
              </a:outerShdw>
            </a:effectLst>
            <a:scene3d>
              <a:camera prst="orthographicFront"/>
              <a:lightRig rig="threePt" dir="t"/>
            </a:scene3d>
            <a:sp3d prstMaterial="softEdge">
              <a:bevelT/>
            </a:sp3d>
          </c:spPr>
          <c:dLbls>
            <c:dLbl>
              <c:idx val="0"/>
              <c:layout>
                <c:manualLayout>
                  <c:x val="6.1803921568627934E-3"/>
                  <c:y val="-7.0111986201159618E-2"/>
                </c:manualLayout>
              </c:layout>
              <c:dLblPos val="outEnd"/>
              <c:showVal val="1"/>
            </c:dLbl>
            <c:dLbl>
              <c:idx val="1"/>
              <c:layout>
                <c:manualLayout>
                  <c:x val="8.5333333333333528E-3"/>
                  <c:y val="-2.0497190273175318E-2"/>
                </c:manualLayout>
              </c:layout>
              <c:dLblPos val="outEnd"/>
              <c:showVal val="1"/>
            </c:dLbl>
            <c:dLbl>
              <c:idx val="2"/>
              <c:layout>
                <c:manualLayout>
                  <c:x val="1.0972487262621601E-2"/>
                  <c:y val="-2.7406020501509341E-2"/>
                </c:manualLayout>
              </c:layout>
              <c:dLblPos val="outEnd"/>
              <c:showVal val="1"/>
            </c:dLbl>
            <c:dLbl>
              <c:idx val="3"/>
              <c:layout>
                <c:manualLayout>
                  <c:x val="1.0886274509803905E-2"/>
                  <c:y val="-4.2952644813299246E-2"/>
                </c:manualLayout>
              </c:layout>
              <c:dLblPos val="outEnd"/>
              <c:showVal val="1"/>
            </c:dLbl>
            <c:dLbl>
              <c:idx val="4"/>
              <c:layout>
                <c:manualLayout>
                  <c:x val="1.1599938243013821E-2"/>
                  <c:y val="-2.9572101532911E-2"/>
                </c:manualLayout>
              </c:layout>
              <c:dLblPos val="outEnd"/>
              <c:showVal val="1"/>
            </c:dLbl>
            <c:dLbl>
              <c:idx val="5"/>
              <c:layout>
                <c:manualLayout>
                  <c:x val="2.8178547548476811E-2"/>
                  <c:y val="-4.0265093568956876E-2"/>
                </c:manualLayout>
              </c:layout>
              <c:dLblPos val="outEnd"/>
              <c:showVal val="1"/>
            </c:dLbl>
            <c:dLbl>
              <c:idx val="6"/>
              <c:layout>
                <c:manualLayout>
                  <c:x val="0.25208633626679"/>
                  <c:y val="-2.5470105535399735E-2"/>
                </c:manualLayout>
              </c:layout>
              <c:dLblPos val="outEnd"/>
              <c:showVal val="1"/>
            </c:dLbl>
            <c:dLbl>
              <c:idx val="7"/>
              <c:layout>
                <c:manualLayout>
                  <c:x val="0.29726280685502532"/>
                  <c:y val="-8.003117701564072E-2"/>
                </c:manualLayout>
              </c:layout>
              <c:dLblPos val="outEnd"/>
              <c:showVal val="1"/>
            </c:dLbl>
            <c:dLbl>
              <c:idx val="8"/>
              <c:layout>
                <c:manualLayout>
                  <c:x val="0.3259686892079745"/>
                  <c:y val="-0.12935156806063636"/>
                </c:manualLayout>
              </c:layout>
              <c:dLblPos val="outEnd"/>
              <c:showVal val="1"/>
            </c:dLbl>
            <c:dLbl>
              <c:idx val="9"/>
              <c:layout>
                <c:manualLayout>
                  <c:x val="0.46055692450208402"/>
                  <c:y val="0.22020581288147861"/>
                </c:manualLayout>
              </c:layout>
              <c:dLblPos val="outEnd"/>
              <c:showVal val="1"/>
            </c:dLbl>
            <c:dLbl>
              <c:idx val="10"/>
              <c:dLblPos val="outEnd"/>
              <c:showVal val="1"/>
            </c:dLbl>
            <c:dLbl>
              <c:idx val="11"/>
              <c:layout>
                <c:manualLayout>
                  <c:x val="0.3927687509649585"/>
                  <c:y val="-0.56161342062382869"/>
                </c:manualLayout>
              </c:layout>
              <c:dLblPos val="outEnd"/>
              <c:showVal val="1"/>
            </c:dLbl>
            <c:dLbl>
              <c:idx val="12"/>
              <c:layout>
                <c:manualLayout>
                  <c:x val="-0.206760660799753"/>
                  <c:y val="-0.18114435286624908"/>
                </c:manualLayout>
              </c:layout>
              <c:dLblPos val="outEnd"/>
              <c:showVal val="1"/>
            </c:dLbl>
            <c:dLbl>
              <c:idx val="13"/>
              <c:layout>
                <c:manualLayout>
                  <c:x val="-0.21570183727034273"/>
                  <c:y val="-6.7787521591602104E-2"/>
                </c:manualLayout>
              </c:layout>
              <c:dLblPos val="outEnd"/>
              <c:showVal val="1"/>
            </c:dLbl>
            <c:dLbl>
              <c:idx val="14"/>
              <c:layout>
                <c:manualLayout>
                  <c:x val="-0.238760660799753"/>
                  <c:y val="-0.458422238286191"/>
                </c:manualLayout>
              </c:layout>
              <c:dLblPos val="outEnd"/>
              <c:showVal val="1"/>
            </c:dLbl>
            <c:dLbl>
              <c:idx val="15"/>
              <c:layout>
                <c:manualLayout>
                  <c:x val="-0.22417242550563488"/>
                  <c:y val="-0.38948072642442427"/>
                </c:manualLayout>
              </c:layout>
              <c:dLblPos val="outEnd"/>
              <c:showVal val="1"/>
            </c:dLbl>
            <c:dLbl>
              <c:idx val="16"/>
              <c:layout>
                <c:manualLayout>
                  <c:x val="-0.27311360197622331"/>
                  <c:y val="-0.30488550131256698"/>
                </c:manualLayout>
              </c:layout>
              <c:dLblPos val="outEnd"/>
              <c:showVal val="1"/>
            </c:dLbl>
            <c:dLbl>
              <c:idx val="17"/>
              <c:layout>
                <c:manualLayout>
                  <c:x val="-0.25381948432916834"/>
                  <c:y val="-0.28173172391870899"/>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cat>
            <c:strRef>
              <c:f>'DATOS CALCULO INDICADORES'!$C$4:$AL$4</c:f>
              <c:strCache>
                <c:ptCount val="5"/>
                <c:pt idx="0">
                  <c:v>DIC 2010</c:v>
                </c:pt>
                <c:pt idx="1">
                  <c:v>DIC 2011</c:v>
                </c:pt>
                <c:pt idx="2">
                  <c:v>DIC 2012</c:v>
                </c:pt>
                <c:pt idx="3">
                  <c:v>DIC 2013</c:v>
                </c:pt>
                <c:pt idx="4">
                  <c:v>DIC 2014</c:v>
                </c:pt>
              </c:strCache>
            </c:strRef>
          </c:cat>
          <c:val>
            <c:numRef>
              <c:f>'DATOS CALCULO INDICADORES'!$C$5:$AL$5</c:f>
              <c:numCache>
                <c:formatCode>0.00%</c:formatCode>
                <c:ptCount val="5"/>
                <c:pt idx="0">
                  <c:v>3.9212447060943852E-2</c:v>
                </c:pt>
                <c:pt idx="1">
                  <c:v>4.7373613913146422E-2</c:v>
                </c:pt>
                <c:pt idx="2">
                  <c:v>4.0327551289953321E-2</c:v>
                </c:pt>
                <c:pt idx="3">
                  <c:v>3.6625762757325979E-2</c:v>
                </c:pt>
                <c:pt idx="4">
                  <c:v>4.1305603697284796E-2</c:v>
                </c:pt>
              </c:numCache>
            </c:numRef>
          </c:val>
        </c:ser>
        <c:gapWidth val="70"/>
        <c:overlap val="3"/>
        <c:axId val="165538432"/>
        <c:axId val="164983168"/>
      </c:barChart>
      <c:lineChart>
        <c:grouping val="standard"/>
        <c:ser>
          <c:idx val="1"/>
          <c:order val="1"/>
          <c:tx>
            <c:strRef>
              <c:f>'DATOS CALCULO INDICADORES'!$B$6</c:f>
              <c:strCache>
                <c:ptCount val="1"/>
                <c:pt idx="0">
                  <c:v>EXCELENTE</c:v>
                </c:pt>
              </c:strCache>
            </c:strRef>
          </c:tx>
          <c:spPr>
            <a:ln w="25400">
              <a:solidFill>
                <a:srgbClr val="008000"/>
              </a:solidFill>
              <a:prstDash val="solid"/>
            </a:ln>
          </c:spPr>
          <c:marker>
            <c:symbol val="none"/>
          </c:marker>
          <c:cat>
            <c:strRef>
              <c:f>'DATOS CALCULO INDICADORES'!$C$4:$AL$4</c:f>
              <c:strCache>
                <c:ptCount val="5"/>
                <c:pt idx="0">
                  <c:v>DIC 2010</c:v>
                </c:pt>
                <c:pt idx="1">
                  <c:v>DIC 2011</c:v>
                </c:pt>
                <c:pt idx="2">
                  <c:v>DIC 2012</c:v>
                </c:pt>
                <c:pt idx="3">
                  <c:v>DIC 2013</c:v>
                </c:pt>
                <c:pt idx="4">
                  <c:v>DIC 2014</c:v>
                </c:pt>
              </c:strCache>
            </c:strRef>
          </c:cat>
          <c:val>
            <c:numRef>
              <c:f>'DATOS CALCULO INDICADORES'!$C$6:$AL$6</c:f>
              <c:numCache>
                <c:formatCode>0.00%</c:formatCode>
                <c:ptCount val="5"/>
                <c:pt idx="0">
                  <c:v>0.05</c:v>
                </c:pt>
                <c:pt idx="1">
                  <c:v>0.05</c:v>
                </c:pt>
                <c:pt idx="2">
                  <c:v>0.05</c:v>
                </c:pt>
                <c:pt idx="3">
                  <c:v>0.05</c:v>
                </c:pt>
                <c:pt idx="4">
                  <c:v>0.05</c:v>
                </c:pt>
              </c:numCache>
            </c:numRef>
          </c:val>
        </c:ser>
        <c:ser>
          <c:idx val="2"/>
          <c:order val="2"/>
          <c:tx>
            <c:strRef>
              <c:f>'DATOS CALCULO INDICADORES'!$B$7</c:f>
              <c:strCache>
                <c:ptCount val="1"/>
                <c:pt idx="0">
                  <c:v>REGULAR</c:v>
                </c:pt>
              </c:strCache>
            </c:strRef>
          </c:tx>
          <c:spPr>
            <a:ln w="25400">
              <a:solidFill>
                <a:srgbClr val="3366FF"/>
              </a:solidFill>
              <a:prstDash val="solid"/>
            </a:ln>
          </c:spPr>
          <c:marker>
            <c:symbol val="none"/>
          </c:marker>
          <c:cat>
            <c:strRef>
              <c:f>'DATOS CALCULO INDICADORES'!$C$4:$AL$4</c:f>
              <c:strCache>
                <c:ptCount val="5"/>
                <c:pt idx="0">
                  <c:v>DIC 2010</c:v>
                </c:pt>
                <c:pt idx="1">
                  <c:v>DIC 2011</c:v>
                </c:pt>
                <c:pt idx="2">
                  <c:v>DIC 2012</c:v>
                </c:pt>
                <c:pt idx="3">
                  <c:v>DIC 2013</c:v>
                </c:pt>
                <c:pt idx="4">
                  <c:v>DIC 2014</c:v>
                </c:pt>
              </c:strCache>
            </c:strRef>
          </c:cat>
          <c:val>
            <c:numRef>
              <c:f>'DATOS CALCULO INDICADORES'!$C$7:$AL$7</c:f>
              <c:numCache>
                <c:formatCode>0.00%</c:formatCode>
                <c:ptCount val="5"/>
                <c:pt idx="0">
                  <c:v>4.0000000000000022E-2</c:v>
                </c:pt>
                <c:pt idx="1">
                  <c:v>4.0000000000000022E-2</c:v>
                </c:pt>
                <c:pt idx="2">
                  <c:v>4.0000000000000022E-2</c:v>
                </c:pt>
                <c:pt idx="3">
                  <c:v>4.0000000000000022E-2</c:v>
                </c:pt>
                <c:pt idx="4">
                  <c:v>4.0000000000000022E-2</c:v>
                </c:pt>
              </c:numCache>
            </c:numRef>
          </c:val>
        </c:ser>
        <c:ser>
          <c:idx val="3"/>
          <c:order val="3"/>
          <c:tx>
            <c:strRef>
              <c:f>'DATOS CALCULO INDICADORES'!$B$8</c:f>
              <c:strCache>
                <c:ptCount val="1"/>
                <c:pt idx="0">
                  <c:v>DEFICIENTE</c:v>
                </c:pt>
              </c:strCache>
            </c:strRef>
          </c:tx>
          <c:spPr>
            <a:ln w="25400">
              <a:solidFill>
                <a:srgbClr val="FF0000"/>
              </a:solidFill>
              <a:prstDash val="solid"/>
            </a:ln>
          </c:spPr>
          <c:marker>
            <c:symbol val="none"/>
          </c:marker>
          <c:cat>
            <c:strRef>
              <c:f>'DATOS CALCULO INDICADORES'!$C$4:$AL$4</c:f>
              <c:strCache>
                <c:ptCount val="5"/>
                <c:pt idx="0">
                  <c:v>DIC 2010</c:v>
                </c:pt>
                <c:pt idx="1">
                  <c:v>DIC 2011</c:v>
                </c:pt>
                <c:pt idx="2">
                  <c:v>DIC 2012</c:v>
                </c:pt>
                <c:pt idx="3">
                  <c:v>DIC 2013</c:v>
                </c:pt>
                <c:pt idx="4">
                  <c:v>DIC 2014</c:v>
                </c:pt>
              </c:strCache>
            </c:strRef>
          </c:cat>
          <c:val>
            <c:numRef>
              <c:f>'DATOS CALCULO INDICADORES'!$C$8:$AL$8</c:f>
              <c:numCache>
                <c:formatCode>0.00%</c:formatCode>
                <c:ptCount val="5"/>
                <c:pt idx="0">
                  <c:v>3.0000000000000002E-2</c:v>
                </c:pt>
                <c:pt idx="1">
                  <c:v>3.0000000000000002E-2</c:v>
                </c:pt>
                <c:pt idx="2">
                  <c:v>3.0000000000000002E-2</c:v>
                </c:pt>
                <c:pt idx="3">
                  <c:v>3.0000000000000002E-2</c:v>
                </c:pt>
                <c:pt idx="4">
                  <c:v>3.0000000000000002E-2</c:v>
                </c:pt>
              </c:numCache>
            </c:numRef>
          </c:val>
        </c:ser>
        <c:marker val="1"/>
        <c:axId val="165538432"/>
        <c:axId val="164983168"/>
      </c:lineChart>
      <c:catAx>
        <c:axId val="165538432"/>
        <c:scaling>
          <c:orientation val="minMax"/>
        </c:scaling>
        <c:axPos val="b"/>
        <c:numFmt formatCode="@" sourceLinked="1"/>
        <c:tickLblPos val="nextTo"/>
        <c:spPr>
          <a:ln w="3175">
            <a:solidFill>
              <a:srgbClr val="000000"/>
            </a:solidFill>
            <a:prstDash val="solid"/>
          </a:ln>
        </c:spPr>
        <c:txPr>
          <a:bodyPr rot="0" vert="horz"/>
          <a:lstStyle/>
          <a:p>
            <a:pPr>
              <a:defRPr lang="es-ES" sz="600" b="1" i="0" u="none" strike="noStrike" baseline="0">
                <a:solidFill>
                  <a:srgbClr val="000000"/>
                </a:solidFill>
                <a:latin typeface="Arial"/>
                <a:ea typeface="Arial"/>
                <a:cs typeface="Arial"/>
              </a:defRPr>
            </a:pPr>
            <a:endParaRPr lang="es-ES"/>
          </a:p>
        </c:txPr>
        <c:crossAx val="164983168"/>
        <c:crosses val="autoZero"/>
        <c:auto val="1"/>
        <c:lblAlgn val="ctr"/>
        <c:lblOffset val="100"/>
        <c:tickLblSkip val="1"/>
        <c:tickMarkSkip val="1"/>
      </c:catAx>
      <c:valAx>
        <c:axId val="164983168"/>
        <c:scaling>
          <c:orientation val="minMax"/>
          <c:max val="0.1"/>
          <c:min val="0"/>
        </c:scaling>
        <c:axPos val="l"/>
        <c:numFmt formatCode="0%" sourceLinked="0"/>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ES"/>
          </a:p>
        </c:txPr>
        <c:crossAx val="165538432"/>
        <c:crosses val="autoZero"/>
        <c:crossBetween val="between"/>
        <c:majorUnit val="2.0000000000000011E-2"/>
        <c:minorUnit val="1.0000000000000005E-2"/>
      </c:valAx>
      <c:spPr>
        <a:noFill/>
        <a:ln w="25400">
          <a:noFill/>
        </a:ln>
      </c:spPr>
    </c:plotArea>
    <c:legend>
      <c:legendPos val="r"/>
      <c:legendEntry>
        <c:idx val="0"/>
        <c:txPr>
          <a:bodyPr/>
          <a:lstStyle/>
          <a:p>
            <a:pPr>
              <a:defRPr sz="800" b="1" i="0" u="none" strike="noStrike" baseline="0">
                <a:solidFill>
                  <a:srgbClr val="000000"/>
                </a:solidFill>
                <a:latin typeface="Arial"/>
                <a:ea typeface="Arial"/>
                <a:cs typeface="Arial"/>
              </a:defRPr>
            </a:pPr>
            <a:endParaRPr lang="es-ES"/>
          </a:p>
        </c:txPr>
      </c:legendEntry>
      <c:layout>
        <c:manualLayout>
          <c:xMode val="edge"/>
          <c:yMode val="edge"/>
          <c:x val="0.18117647058823524"/>
          <c:y val="3.2573341709941778E-2"/>
          <c:w val="0.62250992743554756"/>
          <c:h val="0.21946839706926172"/>
        </c:manualLayout>
      </c:layout>
      <c:spPr>
        <a:solidFill>
          <a:srgbClr val="FFFFFF"/>
        </a:solidFill>
        <a:ln w="3175">
          <a:solidFill>
            <a:srgbClr val="000000"/>
          </a:solidFill>
          <a:prstDash val="solid"/>
        </a:ln>
      </c:spPr>
      <c:txPr>
        <a:bodyPr/>
        <a:lstStyle/>
        <a:p>
          <a:pPr>
            <a:defRPr lang="es-ES" sz="7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9.2857358764321246E-2"/>
          <c:y val="0.28956324167206532"/>
          <c:w val="0.89524017680472701"/>
          <c:h val="0.60606259884850699"/>
        </c:manualLayout>
      </c:layout>
      <c:barChart>
        <c:barDir val="col"/>
        <c:grouping val="clustered"/>
        <c:ser>
          <c:idx val="0"/>
          <c:order val="0"/>
          <c:tx>
            <c:strRef>
              <c:f>'DATOS CALCULO INDICADORES'!$B$30</c:f>
              <c:strCache>
                <c:ptCount val="1"/>
                <c:pt idx="0">
                  <c:v>Utilidad neta /Margen Neto de Intereses</c:v>
                </c:pt>
              </c:strCache>
            </c:strRef>
          </c:tx>
          <c:spPr>
            <a:gradFill>
              <a:gsLst>
                <a:gs pos="0">
                  <a:srgbClr val="8064A2">
                    <a:lumMod val="75000"/>
                  </a:srgbClr>
                </a:gs>
                <a:gs pos="100000">
                  <a:srgbClr val="002060"/>
                </a:gs>
              </a:gsLst>
              <a:lin ang="5400000" scaled="1"/>
            </a:gradFill>
            <a:ln w="12700">
              <a:solidFill>
                <a:srgbClr val="000000"/>
              </a:solidFill>
              <a:prstDash val="solid"/>
            </a:ln>
            <a:scene3d>
              <a:camera prst="orthographicFront"/>
              <a:lightRig rig="threePt" dir="t"/>
            </a:scene3d>
            <a:sp3d prstMaterial="softEdge">
              <a:bevelT/>
            </a:sp3d>
          </c:spPr>
          <c:dLbls>
            <c:spPr>
              <a:noFill/>
              <a:ln w="25400">
                <a:noFill/>
              </a:ln>
            </c:spPr>
            <c:txPr>
              <a:bodyPr/>
              <a:lstStyle/>
              <a:p>
                <a:pPr>
                  <a:defRPr lang="es-ES" sz="800" b="1" i="0" u="none" strike="noStrike" baseline="0">
                    <a:solidFill>
                      <a:srgbClr val="000000"/>
                    </a:solidFill>
                    <a:latin typeface="Arial"/>
                    <a:ea typeface="Arial"/>
                    <a:cs typeface="Arial"/>
                  </a:defRPr>
                </a:pPr>
                <a:endParaRPr lang="es-ES"/>
              </a:p>
            </c:txPr>
            <c:dLblPos val="outEnd"/>
            <c:showVal val="1"/>
          </c:dLbls>
          <c:cat>
            <c:strRef>
              <c:f>'DATOS CALCULO INDICADORES'!$C$29:$AL$29</c:f>
              <c:strCache>
                <c:ptCount val="5"/>
                <c:pt idx="0">
                  <c:v>DIC 2010</c:v>
                </c:pt>
                <c:pt idx="1">
                  <c:v>DIC 2011</c:v>
                </c:pt>
                <c:pt idx="2">
                  <c:v>DIC 2012</c:v>
                </c:pt>
                <c:pt idx="3">
                  <c:v>DIC 2013</c:v>
                </c:pt>
                <c:pt idx="4">
                  <c:v>DIC 2014</c:v>
                </c:pt>
              </c:strCache>
            </c:strRef>
          </c:cat>
          <c:val>
            <c:numRef>
              <c:f>'DATOS CALCULO INDICADORES'!$C$30:$AL$30</c:f>
              <c:numCache>
                <c:formatCode>0.00%</c:formatCode>
                <c:ptCount val="5"/>
                <c:pt idx="0">
                  <c:v>1.9149751053236373E-2</c:v>
                </c:pt>
                <c:pt idx="1">
                  <c:v>0.44575691638172199</c:v>
                </c:pt>
                <c:pt idx="2">
                  <c:v>0.37336244541484997</c:v>
                </c:pt>
                <c:pt idx="3">
                  <c:v>0.11168070303918012</c:v>
                </c:pt>
                <c:pt idx="4">
                  <c:v>0.17919580419580441</c:v>
                </c:pt>
              </c:numCache>
            </c:numRef>
          </c:val>
        </c:ser>
        <c:gapWidth val="50"/>
        <c:axId val="165006336"/>
        <c:axId val="165614336"/>
      </c:barChart>
      <c:lineChart>
        <c:grouping val="standard"/>
        <c:ser>
          <c:idx val="1"/>
          <c:order val="1"/>
          <c:tx>
            <c:strRef>
              <c:f>'DATOS CALCULO INDICADORES'!$B$31</c:f>
              <c:strCache>
                <c:ptCount val="1"/>
                <c:pt idx="0">
                  <c:v>EXCELENTE</c:v>
                </c:pt>
              </c:strCache>
            </c:strRef>
          </c:tx>
          <c:spPr>
            <a:ln w="25400">
              <a:solidFill>
                <a:srgbClr val="008000"/>
              </a:solidFill>
              <a:prstDash val="solid"/>
            </a:ln>
          </c:spPr>
          <c:marker>
            <c:symbol val="none"/>
          </c:marker>
          <c:cat>
            <c:strRef>
              <c:f>'DATOS CALCULO INDICADORES'!$C$29:$AL$29</c:f>
              <c:strCache>
                <c:ptCount val="5"/>
                <c:pt idx="0">
                  <c:v>DIC 2010</c:v>
                </c:pt>
                <c:pt idx="1">
                  <c:v>DIC 2011</c:v>
                </c:pt>
                <c:pt idx="2">
                  <c:v>DIC 2012</c:v>
                </c:pt>
                <c:pt idx="3">
                  <c:v>DIC 2013</c:v>
                </c:pt>
                <c:pt idx="4">
                  <c:v>DIC 2014</c:v>
                </c:pt>
              </c:strCache>
            </c:strRef>
          </c:cat>
          <c:val>
            <c:numRef>
              <c:f>'DATOS CALCULO INDICADORES'!$C$31:$AL$31</c:f>
              <c:numCache>
                <c:formatCode>0.00%</c:formatCode>
                <c:ptCount val="5"/>
                <c:pt idx="0">
                  <c:v>0.25</c:v>
                </c:pt>
                <c:pt idx="1">
                  <c:v>0.25</c:v>
                </c:pt>
                <c:pt idx="2">
                  <c:v>0.25</c:v>
                </c:pt>
                <c:pt idx="3">
                  <c:v>0.25</c:v>
                </c:pt>
                <c:pt idx="4">
                  <c:v>0.25</c:v>
                </c:pt>
              </c:numCache>
            </c:numRef>
          </c:val>
        </c:ser>
        <c:ser>
          <c:idx val="2"/>
          <c:order val="2"/>
          <c:tx>
            <c:strRef>
              <c:f>'DATOS CALCULO INDICADORES'!$B$32</c:f>
              <c:strCache>
                <c:ptCount val="1"/>
                <c:pt idx="0">
                  <c:v>REGULAR</c:v>
                </c:pt>
              </c:strCache>
            </c:strRef>
          </c:tx>
          <c:spPr>
            <a:ln w="25400">
              <a:solidFill>
                <a:srgbClr val="3366FF"/>
              </a:solidFill>
              <a:prstDash val="solid"/>
            </a:ln>
          </c:spPr>
          <c:marker>
            <c:symbol val="none"/>
          </c:marker>
          <c:cat>
            <c:strRef>
              <c:f>'DATOS CALCULO INDICADORES'!$C$29:$AL$29</c:f>
              <c:strCache>
                <c:ptCount val="5"/>
                <c:pt idx="0">
                  <c:v>DIC 2010</c:v>
                </c:pt>
                <c:pt idx="1">
                  <c:v>DIC 2011</c:v>
                </c:pt>
                <c:pt idx="2">
                  <c:v>DIC 2012</c:v>
                </c:pt>
                <c:pt idx="3">
                  <c:v>DIC 2013</c:v>
                </c:pt>
                <c:pt idx="4">
                  <c:v>DIC 2014</c:v>
                </c:pt>
              </c:strCache>
            </c:strRef>
          </c:cat>
          <c:val>
            <c:numRef>
              <c:f>'DATOS CALCULO INDICADORES'!$C$32:$AL$32</c:f>
              <c:numCache>
                <c:formatCode>0.00%</c:formatCode>
                <c:ptCount val="5"/>
                <c:pt idx="0">
                  <c:v>0.15000000000000024</c:v>
                </c:pt>
                <c:pt idx="1">
                  <c:v>0.15000000000000024</c:v>
                </c:pt>
                <c:pt idx="2">
                  <c:v>0.15000000000000024</c:v>
                </c:pt>
                <c:pt idx="3">
                  <c:v>0.15000000000000024</c:v>
                </c:pt>
                <c:pt idx="4">
                  <c:v>0.15000000000000024</c:v>
                </c:pt>
              </c:numCache>
            </c:numRef>
          </c:val>
        </c:ser>
        <c:ser>
          <c:idx val="3"/>
          <c:order val="3"/>
          <c:tx>
            <c:strRef>
              <c:f>'DATOS CALCULO INDICADORES'!$B$33</c:f>
              <c:strCache>
                <c:ptCount val="1"/>
                <c:pt idx="0">
                  <c:v>DEFICIENTE</c:v>
                </c:pt>
              </c:strCache>
            </c:strRef>
          </c:tx>
          <c:spPr>
            <a:ln w="25400">
              <a:solidFill>
                <a:srgbClr val="FF0000"/>
              </a:solidFill>
              <a:prstDash val="solid"/>
            </a:ln>
          </c:spPr>
          <c:marker>
            <c:symbol val="none"/>
          </c:marker>
          <c:cat>
            <c:strRef>
              <c:f>'DATOS CALCULO INDICADORES'!$C$29:$AL$29</c:f>
              <c:strCache>
                <c:ptCount val="5"/>
                <c:pt idx="0">
                  <c:v>DIC 2010</c:v>
                </c:pt>
                <c:pt idx="1">
                  <c:v>DIC 2011</c:v>
                </c:pt>
                <c:pt idx="2">
                  <c:v>DIC 2012</c:v>
                </c:pt>
                <c:pt idx="3">
                  <c:v>DIC 2013</c:v>
                </c:pt>
                <c:pt idx="4">
                  <c:v>DIC 2014</c:v>
                </c:pt>
              </c:strCache>
            </c:strRef>
          </c:cat>
          <c:val>
            <c:numRef>
              <c:f>'DATOS CALCULO INDICADORES'!$C$33:$AL$33</c:f>
              <c:numCache>
                <c:formatCode>0.00%</c:formatCode>
                <c:ptCount val="5"/>
                <c:pt idx="0">
                  <c:v>0.1</c:v>
                </c:pt>
                <c:pt idx="1">
                  <c:v>0.1</c:v>
                </c:pt>
                <c:pt idx="2">
                  <c:v>0.1</c:v>
                </c:pt>
                <c:pt idx="3">
                  <c:v>0.1</c:v>
                </c:pt>
                <c:pt idx="4">
                  <c:v>0.1</c:v>
                </c:pt>
              </c:numCache>
            </c:numRef>
          </c:val>
        </c:ser>
        <c:marker val="1"/>
        <c:axId val="165006336"/>
        <c:axId val="165614336"/>
      </c:lineChart>
      <c:catAx>
        <c:axId val="165006336"/>
        <c:scaling>
          <c:orientation val="minMax"/>
        </c:scaling>
        <c:axPos val="b"/>
        <c:numFmt formatCode="@" sourceLinked="1"/>
        <c:tickLblPos val="nextTo"/>
        <c:spPr>
          <a:ln w="3175">
            <a:solidFill>
              <a:srgbClr val="000000"/>
            </a:solidFill>
            <a:prstDash val="solid"/>
          </a:ln>
        </c:spPr>
        <c:txPr>
          <a:bodyPr rot="0" vert="horz"/>
          <a:lstStyle/>
          <a:p>
            <a:pPr>
              <a:defRPr lang="es-ES" sz="700" b="1" i="0" u="none" strike="noStrike" baseline="0">
                <a:solidFill>
                  <a:srgbClr val="000000"/>
                </a:solidFill>
                <a:latin typeface="Arial"/>
                <a:ea typeface="Arial"/>
                <a:cs typeface="Arial"/>
              </a:defRPr>
            </a:pPr>
            <a:endParaRPr lang="es-ES"/>
          </a:p>
        </c:txPr>
        <c:crossAx val="165614336"/>
        <c:crosses val="autoZero"/>
        <c:auto val="1"/>
        <c:lblAlgn val="ctr"/>
        <c:lblOffset val="100"/>
        <c:tickLblSkip val="1"/>
        <c:tickMarkSkip val="1"/>
      </c:catAx>
      <c:valAx>
        <c:axId val="165614336"/>
        <c:scaling>
          <c:orientation val="minMax"/>
          <c:max val="0.8"/>
          <c:min val="0"/>
        </c:scaling>
        <c:axPos val="l"/>
        <c:numFmt formatCode="0%" sourceLinked="0"/>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ES"/>
          </a:p>
        </c:txPr>
        <c:crossAx val="165006336"/>
        <c:crosses val="autoZero"/>
        <c:crossBetween val="between"/>
        <c:majorUnit val="0.15000000000000024"/>
        <c:minorUnit val="1.5000000000000025E-2"/>
      </c:valAx>
      <c:spPr>
        <a:noFill/>
        <a:ln w="25400">
          <a:noFill/>
        </a:ln>
      </c:spPr>
    </c:plotArea>
    <c:legend>
      <c:legendPos val="r"/>
      <c:legendEntry>
        <c:idx val="0"/>
        <c:txPr>
          <a:bodyPr/>
          <a:lstStyle/>
          <a:p>
            <a:pPr>
              <a:defRPr sz="800" b="1" i="0" u="none" strike="noStrike" baseline="0">
                <a:solidFill>
                  <a:srgbClr val="000000"/>
                </a:solidFill>
                <a:latin typeface="Arial"/>
                <a:ea typeface="Arial"/>
                <a:cs typeface="Arial"/>
              </a:defRPr>
            </a:pPr>
            <a:endParaRPr lang="es-ES"/>
          </a:p>
        </c:txPr>
      </c:legendEntry>
      <c:layout>
        <c:manualLayout>
          <c:xMode val="edge"/>
          <c:yMode val="edge"/>
          <c:x val="0.15000049993750841"/>
          <c:y val="4.7138047138047132E-2"/>
          <c:w val="0.66904936882890165"/>
          <c:h val="0.18855280853064701"/>
        </c:manualLayout>
      </c:layout>
      <c:spPr>
        <a:solidFill>
          <a:srgbClr val="FFFFFF"/>
        </a:solidFill>
        <a:ln w="3175">
          <a:solidFill>
            <a:srgbClr val="000000"/>
          </a:solidFill>
          <a:prstDash val="solid"/>
        </a:ln>
      </c:spPr>
      <c:txPr>
        <a:bodyPr/>
        <a:lstStyle/>
        <a:p>
          <a:pPr>
            <a:defRPr lang="es-ES" sz="7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50" b="0"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s-ES"/>
  <c:roundedCorners val="1"/>
  <c:chart>
    <c:plotArea>
      <c:layout>
        <c:manualLayout>
          <c:layoutTarget val="inner"/>
          <c:xMode val="edge"/>
          <c:yMode val="edge"/>
          <c:x val="0.11241230653119798"/>
          <c:y val="0.26086956521739452"/>
          <c:w val="0.87587922172225097"/>
          <c:h val="0.62207357859531964"/>
        </c:manualLayout>
      </c:layout>
      <c:barChart>
        <c:barDir val="col"/>
        <c:grouping val="clustered"/>
        <c:ser>
          <c:idx val="0"/>
          <c:order val="0"/>
          <c:tx>
            <c:strRef>
              <c:f>'DATOS CALCULO INDICADORES'!$B$15</c:f>
              <c:strCache>
                <c:ptCount val="1"/>
                <c:pt idx="0">
                  <c:v>Utilidad operacional/Ingresos operacionales</c:v>
                </c:pt>
              </c:strCache>
            </c:strRef>
          </c:tx>
          <c:spPr>
            <a:gradFill>
              <a:gsLst>
                <a:gs pos="0">
                  <a:srgbClr val="99CC00"/>
                </a:gs>
                <a:gs pos="100000">
                  <a:srgbClr val="000080">
                    <a:gamma/>
                    <a:shade val="46275"/>
                    <a:invGamma/>
                  </a:srgbClr>
                </a:gs>
              </a:gsLst>
              <a:lin ang="5400000" scaled="1"/>
            </a:gradFill>
            <a:ln w="12700">
              <a:solidFill>
                <a:srgbClr val="000000"/>
              </a:solidFill>
              <a:prstDash val="solid"/>
            </a:ln>
            <a:scene3d>
              <a:camera prst="orthographicFront"/>
              <a:lightRig rig="threePt" dir="t"/>
            </a:scene3d>
            <a:sp3d>
              <a:bevelT/>
            </a:sp3d>
          </c:spPr>
          <c:dLbls>
            <c:dLbl>
              <c:idx val="2"/>
              <c:layout>
                <c:manualLayout>
                  <c:x val="-3.1228063705152202E-3"/>
                  <c:y val="-5.3511354558941134E-2"/>
                </c:manualLayout>
              </c:layout>
              <c:dLblPos val="outEnd"/>
              <c:showVal val="1"/>
            </c:dLbl>
            <c:dLbl>
              <c:idx val="3"/>
              <c:layout>
                <c:manualLayout>
                  <c:x val="0"/>
                  <c:y val="-5.7970663366075897E-2"/>
                </c:manualLayout>
              </c:layout>
              <c:dLblPos val="outEnd"/>
              <c:showVal val="1"/>
            </c:dLbl>
            <c:spPr>
              <a:noFill/>
              <a:ln w="25400">
                <a:noFill/>
              </a:ln>
            </c:spPr>
            <c:txPr>
              <a:bodyPr anchor="t" anchorCtr="1"/>
              <a:lstStyle/>
              <a:p>
                <a:pPr>
                  <a:defRPr lang="es-ES" sz="800" b="1" i="0" u="none" strike="noStrike" baseline="0">
                    <a:solidFill>
                      <a:srgbClr val="000000"/>
                    </a:solidFill>
                    <a:latin typeface="Arial"/>
                    <a:ea typeface="Arial"/>
                    <a:cs typeface="Arial"/>
                  </a:defRPr>
                </a:pPr>
                <a:endParaRPr lang="es-ES"/>
              </a:p>
            </c:txPr>
            <c:dLblPos val="outEnd"/>
            <c:showVal val="1"/>
          </c:dLbls>
          <c:cat>
            <c:strRef>
              <c:f>'DATOS CALCULO INDICADORES'!$C$14:$AL$14</c:f>
              <c:strCache>
                <c:ptCount val="5"/>
                <c:pt idx="0">
                  <c:v>DIC 2010</c:v>
                </c:pt>
                <c:pt idx="1">
                  <c:v>DIC 2011</c:v>
                </c:pt>
                <c:pt idx="2">
                  <c:v>DIC 2012</c:v>
                </c:pt>
                <c:pt idx="3">
                  <c:v>DIC 2013</c:v>
                </c:pt>
                <c:pt idx="4">
                  <c:v>DIC 2014</c:v>
                </c:pt>
              </c:strCache>
            </c:strRef>
          </c:cat>
          <c:val>
            <c:numRef>
              <c:f>'DATOS CALCULO INDICADORES'!$C$15:$AL$15</c:f>
              <c:numCache>
                <c:formatCode>0.00%</c:formatCode>
                <c:ptCount val="5"/>
                <c:pt idx="0">
                  <c:v>-2.5933314334568209E-2</c:v>
                </c:pt>
                <c:pt idx="1">
                  <c:v>0.20207373271889401</c:v>
                </c:pt>
                <c:pt idx="2">
                  <c:v>0.144321968725968</c:v>
                </c:pt>
                <c:pt idx="3">
                  <c:v>3.4672970843183652E-2</c:v>
                </c:pt>
                <c:pt idx="4">
                  <c:v>6.7534215840251599E-2</c:v>
                </c:pt>
              </c:numCache>
            </c:numRef>
          </c:val>
        </c:ser>
        <c:gapWidth val="50"/>
        <c:axId val="165649792"/>
        <c:axId val="165667968"/>
      </c:barChart>
      <c:lineChart>
        <c:grouping val="standard"/>
        <c:ser>
          <c:idx val="1"/>
          <c:order val="1"/>
          <c:tx>
            <c:strRef>
              <c:f>'DATOS CALCULO INDICADORES'!$B$16</c:f>
              <c:strCache>
                <c:ptCount val="1"/>
                <c:pt idx="0">
                  <c:v>EXCELENTE</c:v>
                </c:pt>
              </c:strCache>
            </c:strRef>
          </c:tx>
          <c:spPr>
            <a:ln w="25400">
              <a:solidFill>
                <a:srgbClr val="008000"/>
              </a:solidFill>
              <a:prstDash val="solid"/>
            </a:ln>
          </c:spPr>
          <c:marker>
            <c:symbol val="none"/>
          </c:marker>
          <c:cat>
            <c:strRef>
              <c:f>'DATOS CALCULO INDICADORES'!$C$14:$AL$14</c:f>
              <c:strCache>
                <c:ptCount val="5"/>
                <c:pt idx="0">
                  <c:v>DIC 2010</c:v>
                </c:pt>
                <c:pt idx="1">
                  <c:v>DIC 2011</c:v>
                </c:pt>
                <c:pt idx="2">
                  <c:v>DIC 2012</c:v>
                </c:pt>
                <c:pt idx="3">
                  <c:v>DIC 2013</c:v>
                </c:pt>
                <c:pt idx="4">
                  <c:v>DIC 2014</c:v>
                </c:pt>
              </c:strCache>
            </c:strRef>
          </c:cat>
          <c:val>
            <c:numRef>
              <c:f>'DATOS CALCULO INDICADORES'!$C$16:$AL$16</c:f>
              <c:numCache>
                <c:formatCode>0.00%</c:formatCode>
                <c:ptCount val="5"/>
                <c:pt idx="0">
                  <c:v>0.30000000000000032</c:v>
                </c:pt>
                <c:pt idx="1">
                  <c:v>0.30000000000000032</c:v>
                </c:pt>
                <c:pt idx="2">
                  <c:v>0.30000000000000032</c:v>
                </c:pt>
                <c:pt idx="3">
                  <c:v>0.30000000000000032</c:v>
                </c:pt>
                <c:pt idx="4">
                  <c:v>0.30000000000000032</c:v>
                </c:pt>
              </c:numCache>
            </c:numRef>
          </c:val>
        </c:ser>
        <c:ser>
          <c:idx val="2"/>
          <c:order val="2"/>
          <c:tx>
            <c:strRef>
              <c:f>'DATOS CALCULO INDICADORES'!$B$17</c:f>
              <c:strCache>
                <c:ptCount val="1"/>
                <c:pt idx="0">
                  <c:v>REGULAR</c:v>
                </c:pt>
              </c:strCache>
            </c:strRef>
          </c:tx>
          <c:spPr>
            <a:ln w="25400">
              <a:solidFill>
                <a:srgbClr val="0000FF"/>
              </a:solidFill>
              <a:prstDash val="solid"/>
            </a:ln>
          </c:spPr>
          <c:marker>
            <c:symbol val="none"/>
          </c:marker>
          <c:cat>
            <c:strRef>
              <c:f>'DATOS CALCULO INDICADORES'!$C$14:$AL$14</c:f>
              <c:strCache>
                <c:ptCount val="5"/>
                <c:pt idx="0">
                  <c:v>DIC 2010</c:v>
                </c:pt>
                <c:pt idx="1">
                  <c:v>DIC 2011</c:v>
                </c:pt>
                <c:pt idx="2">
                  <c:v>DIC 2012</c:v>
                </c:pt>
                <c:pt idx="3">
                  <c:v>DIC 2013</c:v>
                </c:pt>
                <c:pt idx="4">
                  <c:v>DIC 2014</c:v>
                </c:pt>
              </c:strCache>
            </c:strRef>
          </c:cat>
          <c:val>
            <c:numRef>
              <c:f>'DATOS CALCULO INDICADORES'!$C$17:$AL$17</c:f>
              <c:numCache>
                <c:formatCode>0.00%</c:formatCode>
                <c:ptCount val="5"/>
                <c:pt idx="0">
                  <c:v>0.18000000000000024</c:v>
                </c:pt>
                <c:pt idx="1">
                  <c:v>0.18000000000000024</c:v>
                </c:pt>
                <c:pt idx="2">
                  <c:v>0.18000000000000024</c:v>
                </c:pt>
                <c:pt idx="3">
                  <c:v>0.18000000000000024</c:v>
                </c:pt>
                <c:pt idx="4">
                  <c:v>0.18000000000000024</c:v>
                </c:pt>
              </c:numCache>
            </c:numRef>
          </c:val>
        </c:ser>
        <c:ser>
          <c:idx val="3"/>
          <c:order val="3"/>
          <c:tx>
            <c:strRef>
              <c:f>'DATOS CALCULO INDICADORES'!$B$18</c:f>
              <c:strCache>
                <c:ptCount val="1"/>
                <c:pt idx="0">
                  <c:v>DEFICIENTE</c:v>
                </c:pt>
              </c:strCache>
            </c:strRef>
          </c:tx>
          <c:spPr>
            <a:ln w="25400">
              <a:solidFill>
                <a:srgbClr val="FF0000"/>
              </a:solidFill>
              <a:prstDash val="solid"/>
            </a:ln>
          </c:spPr>
          <c:marker>
            <c:symbol val="none"/>
          </c:marker>
          <c:cat>
            <c:strRef>
              <c:f>'DATOS CALCULO INDICADORES'!$C$14:$AL$14</c:f>
              <c:strCache>
                <c:ptCount val="5"/>
                <c:pt idx="0">
                  <c:v>DIC 2010</c:v>
                </c:pt>
                <c:pt idx="1">
                  <c:v>DIC 2011</c:v>
                </c:pt>
                <c:pt idx="2">
                  <c:v>DIC 2012</c:v>
                </c:pt>
                <c:pt idx="3">
                  <c:v>DIC 2013</c:v>
                </c:pt>
                <c:pt idx="4">
                  <c:v>DIC 2014</c:v>
                </c:pt>
              </c:strCache>
            </c:strRef>
          </c:cat>
          <c:val>
            <c:numRef>
              <c:f>'DATOS CALCULO INDICADORES'!$C$18:$AL$18</c:f>
              <c:numCache>
                <c:formatCode>0.00%</c:formatCode>
                <c:ptCount val="5"/>
                <c:pt idx="0">
                  <c:v>0.1</c:v>
                </c:pt>
                <c:pt idx="1">
                  <c:v>0.1</c:v>
                </c:pt>
                <c:pt idx="2">
                  <c:v>0.1</c:v>
                </c:pt>
                <c:pt idx="3">
                  <c:v>0.1</c:v>
                </c:pt>
                <c:pt idx="4">
                  <c:v>0.1</c:v>
                </c:pt>
              </c:numCache>
            </c:numRef>
          </c:val>
        </c:ser>
        <c:marker val="1"/>
        <c:axId val="165649792"/>
        <c:axId val="165667968"/>
      </c:lineChart>
      <c:catAx>
        <c:axId val="165649792"/>
        <c:scaling>
          <c:orientation val="minMax"/>
        </c:scaling>
        <c:axPos val="b"/>
        <c:numFmt formatCode="@" sourceLinked="1"/>
        <c:tickLblPos val="nextTo"/>
        <c:spPr>
          <a:ln w="3175">
            <a:solidFill>
              <a:srgbClr val="000000"/>
            </a:solidFill>
            <a:prstDash val="solid"/>
          </a:ln>
        </c:spPr>
        <c:txPr>
          <a:bodyPr rot="0" vert="horz"/>
          <a:lstStyle/>
          <a:p>
            <a:pPr>
              <a:defRPr lang="es-ES" sz="700" b="1" i="0" u="none" strike="noStrike" baseline="0">
                <a:solidFill>
                  <a:srgbClr val="000000"/>
                </a:solidFill>
                <a:latin typeface="Arial"/>
                <a:ea typeface="Arial"/>
                <a:cs typeface="Arial"/>
              </a:defRPr>
            </a:pPr>
            <a:endParaRPr lang="es-ES"/>
          </a:p>
        </c:txPr>
        <c:crossAx val="165667968"/>
        <c:crosses val="autoZero"/>
        <c:auto val="1"/>
        <c:lblAlgn val="ctr"/>
        <c:lblOffset val="100"/>
        <c:tickLblSkip val="1"/>
        <c:tickMarkSkip val="1"/>
      </c:catAx>
      <c:valAx>
        <c:axId val="165667968"/>
        <c:scaling>
          <c:orientation val="minMax"/>
          <c:max val="0.45"/>
          <c:min val="-0.1"/>
        </c:scaling>
        <c:axPos val="l"/>
        <c:numFmt formatCode="0%" sourceLinked="0"/>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ES"/>
          </a:p>
        </c:txPr>
        <c:crossAx val="165649792"/>
        <c:crosses val="autoZero"/>
        <c:crossBetween val="between"/>
        <c:majorUnit val="0.1"/>
        <c:minorUnit val="1.5000000000000025E-2"/>
      </c:valAx>
      <c:spPr>
        <a:noFill/>
        <a:ln w="25400">
          <a:noFill/>
        </a:ln>
      </c:spPr>
    </c:plotArea>
    <c:legend>
      <c:legendPos val="r"/>
      <c:legendEntry>
        <c:idx val="0"/>
        <c:txPr>
          <a:bodyPr/>
          <a:lstStyle/>
          <a:p>
            <a:pPr>
              <a:defRPr sz="900" b="1" i="0" u="none" strike="noStrike" baseline="0">
                <a:solidFill>
                  <a:srgbClr val="000000"/>
                </a:solidFill>
                <a:latin typeface="Arial"/>
                <a:ea typeface="Arial"/>
                <a:cs typeface="Arial"/>
              </a:defRPr>
            </a:pPr>
            <a:endParaRPr lang="es-ES"/>
          </a:p>
        </c:txPr>
      </c:legendEntry>
      <c:layout>
        <c:manualLayout>
          <c:xMode val="edge"/>
          <c:yMode val="edge"/>
          <c:x val="0.11631562448136602"/>
          <c:y val="3.0100334448160612E-2"/>
          <c:w val="0.75175742376465304"/>
          <c:h val="0.167224080267559"/>
        </c:manualLayout>
      </c:layout>
      <c:spPr>
        <a:solidFill>
          <a:srgbClr val="FFFFFF"/>
        </a:solidFill>
        <a:ln w="3175">
          <a:solidFill>
            <a:srgbClr val="000000"/>
          </a:solidFill>
          <a:prstDash val="solid"/>
        </a:ln>
      </c:spPr>
      <c:txPr>
        <a:bodyPr/>
        <a:lstStyle/>
        <a:p>
          <a:pPr>
            <a:defRPr lang="es-ES" sz="7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01382488479263"/>
          <c:y val="0.128289679741596"/>
          <c:w val="0.88940092165898599"/>
          <c:h val="0.73684328877224359"/>
        </c:manualLayout>
      </c:layout>
      <c:barChart>
        <c:barDir val="col"/>
        <c:grouping val="clustered"/>
        <c:ser>
          <c:idx val="0"/>
          <c:order val="0"/>
          <c:tx>
            <c:strRef>
              <c:f>'DATOS CALCULO INDICADORES'!$B$20</c:f>
              <c:strCache>
                <c:ptCount val="1"/>
                <c:pt idx="0">
                  <c:v>Utilidad neta / Patrimonio (ROE)</c:v>
                </c:pt>
              </c:strCache>
            </c:strRef>
          </c:tx>
          <c:spPr>
            <a:gradFill flip="none" rotWithShape="1">
              <a:gsLst>
                <a:gs pos="0">
                  <a:srgbClr val="D6B19C"/>
                </a:gs>
                <a:gs pos="30000">
                  <a:srgbClr val="D49E6C"/>
                </a:gs>
                <a:gs pos="70000">
                  <a:srgbClr val="A65528"/>
                </a:gs>
                <a:gs pos="100000">
                  <a:srgbClr val="663012"/>
                </a:gs>
              </a:gsLst>
              <a:lin ang="5400000" scaled="0"/>
              <a:tileRect r="-100000" b="-100000"/>
            </a:gradFill>
            <a:ln w="12700">
              <a:solidFill>
                <a:srgbClr val="000000"/>
              </a:solidFill>
              <a:prstDash val="solid"/>
            </a:ln>
            <a:scene3d>
              <a:camera prst="orthographicFront"/>
              <a:lightRig rig="threePt" dir="t"/>
            </a:scene3d>
            <a:sp3d prstMaterial="metal">
              <a:bevelT prst="relaxedInset"/>
            </a:sp3d>
          </c:spPr>
          <c:dLbls>
            <c:dLbl>
              <c:idx val="2"/>
              <c:layout>
                <c:manualLayout>
                  <c:x val="0"/>
                  <c:y val="0.21065263476680801"/>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dLblPos val="outEnd"/>
            <c:showVal val="1"/>
          </c:dLbls>
          <c:cat>
            <c:strRef>
              <c:f>'DATOS CALCULO INDICADORES'!$C$19:$AL$19</c:f>
              <c:strCache>
                <c:ptCount val="5"/>
                <c:pt idx="0">
                  <c:v>DIC 2010</c:v>
                </c:pt>
                <c:pt idx="1">
                  <c:v>DIC 2011</c:v>
                </c:pt>
                <c:pt idx="2">
                  <c:v>DIC 2012</c:v>
                </c:pt>
                <c:pt idx="3">
                  <c:v>DIC 2013</c:v>
                </c:pt>
                <c:pt idx="4">
                  <c:v>DIC 2014</c:v>
                </c:pt>
              </c:strCache>
            </c:strRef>
          </c:cat>
          <c:val>
            <c:numRef>
              <c:f>'DATOS CALCULO INDICADORES'!$C$20:$AL$20</c:f>
              <c:numCache>
                <c:formatCode>0.00%</c:formatCode>
                <c:ptCount val="5"/>
                <c:pt idx="0">
                  <c:v>4.2240432542029324E-3</c:v>
                </c:pt>
                <c:pt idx="1">
                  <c:v>0.10746402877697855</c:v>
                </c:pt>
                <c:pt idx="2">
                  <c:v>5.9179788890811512E-2</c:v>
                </c:pt>
                <c:pt idx="3">
                  <c:v>1.6228583590507675E-2</c:v>
                </c:pt>
                <c:pt idx="4">
                  <c:v>3.2182103610675174E-2</c:v>
                </c:pt>
              </c:numCache>
            </c:numRef>
          </c:val>
        </c:ser>
        <c:gapWidth val="50"/>
        <c:axId val="165715968"/>
        <c:axId val="165717504"/>
      </c:barChart>
      <c:lineChart>
        <c:grouping val="standard"/>
        <c:ser>
          <c:idx val="1"/>
          <c:order val="1"/>
          <c:tx>
            <c:strRef>
              <c:f>'DATOS CALCULO INDICADORES'!$B$21</c:f>
              <c:strCache>
                <c:ptCount val="1"/>
                <c:pt idx="0">
                  <c:v>EXCELENTE</c:v>
                </c:pt>
              </c:strCache>
            </c:strRef>
          </c:tx>
          <c:spPr>
            <a:ln w="25400">
              <a:solidFill>
                <a:srgbClr val="008000"/>
              </a:solidFill>
              <a:prstDash val="solid"/>
            </a:ln>
          </c:spPr>
          <c:marker>
            <c:symbol val="none"/>
          </c:marker>
          <c:cat>
            <c:strRef>
              <c:f>'DATOS CALCULO INDICADORES'!$C$19:$AL$19</c:f>
              <c:strCache>
                <c:ptCount val="5"/>
                <c:pt idx="0">
                  <c:v>DIC 2010</c:v>
                </c:pt>
                <c:pt idx="1">
                  <c:v>DIC 2011</c:v>
                </c:pt>
                <c:pt idx="2">
                  <c:v>DIC 2012</c:v>
                </c:pt>
                <c:pt idx="3">
                  <c:v>DIC 2013</c:v>
                </c:pt>
                <c:pt idx="4">
                  <c:v>DIC 2014</c:v>
                </c:pt>
              </c:strCache>
            </c:strRef>
          </c:cat>
          <c:val>
            <c:numRef>
              <c:f>'DATOS CALCULO INDICADORES'!$C$21:$AL$21</c:f>
              <c:numCache>
                <c:formatCode>0.00%</c:formatCode>
                <c:ptCount val="5"/>
                <c:pt idx="0">
                  <c:v>4.0000000000000022E-2</c:v>
                </c:pt>
                <c:pt idx="1">
                  <c:v>4.0000000000000022E-2</c:v>
                </c:pt>
                <c:pt idx="2">
                  <c:v>4.0000000000000022E-2</c:v>
                </c:pt>
                <c:pt idx="3">
                  <c:v>4.0000000000000022E-2</c:v>
                </c:pt>
                <c:pt idx="4">
                  <c:v>4.0000000000000022E-2</c:v>
                </c:pt>
              </c:numCache>
            </c:numRef>
          </c:val>
        </c:ser>
        <c:ser>
          <c:idx val="2"/>
          <c:order val="2"/>
          <c:tx>
            <c:strRef>
              <c:f>'DATOS CALCULO INDICADORES'!$B$22</c:f>
              <c:strCache>
                <c:ptCount val="1"/>
                <c:pt idx="0">
                  <c:v>REGULAR</c:v>
                </c:pt>
              </c:strCache>
            </c:strRef>
          </c:tx>
          <c:spPr>
            <a:ln w="25400">
              <a:solidFill>
                <a:srgbClr val="0000FF"/>
              </a:solidFill>
              <a:prstDash val="solid"/>
            </a:ln>
          </c:spPr>
          <c:marker>
            <c:symbol val="none"/>
          </c:marker>
          <c:cat>
            <c:strRef>
              <c:f>'DATOS CALCULO INDICADORES'!$C$19:$AL$19</c:f>
              <c:strCache>
                <c:ptCount val="5"/>
                <c:pt idx="0">
                  <c:v>DIC 2010</c:v>
                </c:pt>
                <c:pt idx="1">
                  <c:v>DIC 2011</c:v>
                </c:pt>
                <c:pt idx="2">
                  <c:v>DIC 2012</c:v>
                </c:pt>
                <c:pt idx="3">
                  <c:v>DIC 2013</c:v>
                </c:pt>
                <c:pt idx="4">
                  <c:v>DIC 2014</c:v>
                </c:pt>
              </c:strCache>
            </c:strRef>
          </c:cat>
          <c:val>
            <c:numRef>
              <c:f>'DATOS CALCULO INDICADORES'!$C$22:$AL$22</c:f>
              <c:numCache>
                <c:formatCode>0.00%</c:formatCode>
                <c:ptCount val="5"/>
                <c:pt idx="0">
                  <c:v>2.0000000000000011E-2</c:v>
                </c:pt>
                <c:pt idx="1">
                  <c:v>2.0000000000000011E-2</c:v>
                </c:pt>
                <c:pt idx="2">
                  <c:v>2.0000000000000011E-2</c:v>
                </c:pt>
                <c:pt idx="3">
                  <c:v>2.0000000000000011E-2</c:v>
                </c:pt>
                <c:pt idx="4">
                  <c:v>2.0000000000000011E-2</c:v>
                </c:pt>
              </c:numCache>
            </c:numRef>
          </c:val>
        </c:ser>
        <c:ser>
          <c:idx val="3"/>
          <c:order val="3"/>
          <c:tx>
            <c:strRef>
              <c:f>'DATOS CALCULO INDICADORES'!$B$23</c:f>
              <c:strCache>
                <c:ptCount val="1"/>
                <c:pt idx="0">
                  <c:v>DEFICIENTE</c:v>
                </c:pt>
              </c:strCache>
            </c:strRef>
          </c:tx>
          <c:spPr>
            <a:ln w="25400">
              <a:solidFill>
                <a:srgbClr val="FF0000"/>
              </a:solidFill>
              <a:prstDash val="solid"/>
            </a:ln>
          </c:spPr>
          <c:marker>
            <c:symbol val="none"/>
          </c:marker>
          <c:cat>
            <c:strRef>
              <c:f>'DATOS CALCULO INDICADORES'!$C$19:$AL$19</c:f>
              <c:strCache>
                <c:ptCount val="5"/>
                <c:pt idx="0">
                  <c:v>DIC 2010</c:v>
                </c:pt>
                <c:pt idx="1">
                  <c:v>DIC 2011</c:v>
                </c:pt>
                <c:pt idx="2">
                  <c:v>DIC 2012</c:v>
                </c:pt>
                <c:pt idx="3">
                  <c:v>DIC 2013</c:v>
                </c:pt>
                <c:pt idx="4">
                  <c:v>DIC 2014</c:v>
                </c:pt>
              </c:strCache>
            </c:strRef>
          </c:cat>
          <c:val>
            <c:numRef>
              <c:f>'DATOS CALCULO INDICADORES'!$C$23:$AL$23</c:f>
              <c:numCache>
                <c:formatCode>0.00%</c:formatCode>
                <c:ptCount val="5"/>
                <c:pt idx="0">
                  <c:v>1.0000000000000005E-2</c:v>
                </c:pt>
                <c:pt idx="1">
                  <c:v>1.0000000000000005E-2</c:v>
                </c:pt>
                <c:pt idx="2">
                  <c:v>1.0000000000000005E-2</c:v>
                </c:pt>
                <c:pt idx="3">
                  <c:v>1.0000000000000005E-2</c:v>
                </c:pt>
                <c:pt idx="4">
                  <c:v>1.0000000000000005E-2</c:v>
                </c:pt>
              </c:numCache>
            </c:numRef>
          </c:val>
        </c:ser>
        <c:marker val="1"/>
        <c:axId val="165715968"/>
        <c:axId val="165717504"/>
      </c:lineChart>
      <c:catAx>
        <c:axId val="165715968"/>
        <c:scaling>
          <c:orientation val="minMax"/>
        </c:scaling>
        <c:axPos val="b"/>
        <c:numFmt formatCode="@" sourceLinked="1"/>
        <c:tickLblPos val="nextTo"/>
        <c:spPr>
          <a:ln w="3175">
            <a:solidFill>
              <a:srgbClr val="000000"/>
            </a:solidFill>
            <a:prstDash val="solid"/>
          </a:ln>
        </c:spPr>
        <c:txPr>
          <a:bodyPr rot="0" vert="horz"/>
          <a:lstStyle/>
          <a:p>
            <a:pPr>
              <a:defRPr lang="es-ES" sz="700" b="1" i="0" u="none" strike="noStrike" baseline="0">
                <a:solidFill>
                  <a:srgbClr val="000000"/>
                </a:solidFill>
                <a:latin typeface="Arial"/>
                <a:ea typeface="Arial"/>
                <a:cs typeface="Arial"/>
              </a:defRPr>
            </a:pPr>
            <a:endParaRPr lang="es-ES"/>
          </a:p>
        </c:txPr>
        <c:crossAx val="165717504"/>
        <c:crosses val="autoZero"/>
        <c:auto val="1"/>
        <c:lblAlgn val="ctr"/>
        <c:lblOffset val="100"/>
        <c:tickLblSkip val="1"/>
        <c:tickMarkSkip val="1"/>
      </c:catAx>
      <c:valAx>
        <c:axId val="165717504"/>
        <c:scaling>
          <c:orientation val="minMax"/>
          <c:max val="0.15000000000000024"/>
          <c:min val="-1.0000000000000005E-2"/>
        </c:scaling>
        <c:axPos val="l"/>
        <c:numFmt formatCode="0%" sourceLinked="0"/>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ES"/>
          </a:p>
        </c:txPr>
        <c:crossAx val="165715968"/>
        <c:crosses val="autoZero"/>
        <c:crossBetween val="between"/>
        <c:majorUnit val="2.5000000000000012E-2"/>
        <c:minorUnit val="1.0000000000000005E-2"/>
      </c:valAx>
      <c:spPr>
        <a:noFill/>
        <a:ln w="25400">
          <a:noFill/>
        </a:ln>
      </c:spPr>
    </c:plotArea>
    <c:legend>
      <c:legendPos val="r"/>
      <c:legendEntry>
        <c:idx val="0"/>
        <c:txPr>
          <a:bodyPr/>
          <a:lstStyle/>
          <a:p>
            <a:pPr>
              <a:defRPr sz="800" b="1" i="0" u="none" strike="noStrike" baseline="0">
                <a:solidFill>
                  <a:srgbClr val="000000"/>
                </a:solidFill>
                <a:latin typeface="Arial"/>
                <a:ea typeface="Arial"/>
                <a:cs typeface="Arial"/>
              </a:defRPr>
            </a:pPr>
            <a:endParaRPr lang="es-ES"/>
          </a:p>
        </c:txPr>
      </c:legendEntry>
      <c:layout>
        <c:manualLayout>
          <c:xMode val="edge"/>
          <c:yMode val="edge"/>
          <c:x val="0.15728716754649755"/>
          <c:y val="3.1039269129820704E-2"/>
          <c:w val="0.61059907834101956"/>
          <c:h val="0.18640385412350005"/>
        </c:manualLayout>
      </c:layout>
      <c:spPr>
        <a:solidFill>
          <a:srgbClr val="FFFFFF"/>
        </a:solidFill>
        <a:ln w="3175">
          <a:solidFill>
            <a:srgbClr val="000000"/>
          </a:solidFill>
          <a:prstDash val="solid"/>
        </a:ln>
      </c:spPr>
      <c:txPr>
        <a:bodyPr/>
        <a:lstStyle/>
        <a:p>
          <a:pPr>
            <a:defRPr lang="es-ES" sz="7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00"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s-ES"/>
  <c:roundedCorners val="1"/>
  <c:chart>
    <c:plotArea>
      <c:layout>
        <c:manualLayout>
          <c:layoutTarget val="inner"/>
          <c:xMode val="edge"/>
          <c:yMode val="edge"/>
          <c:x val="8.1927807238101516E-2"/>
          <c:y val="0.37123745819397974"/>
          <c:w val="0.908434803787184"/>
          <c:h val="0.43812709030100438"/>
        </c:manualLayout>
      </c:layout>
      <c:barChart>
        <c:barDir val="col"/>
        <c:grouping val="clustered"/>
        <c:ser>
          <c:idx val="0"/>
          <c:order val="0"/>
          <c:tx>
            <c:strRef>
              <c:f>'DATOS CALCULO INDICADORES'!$B$25</c:f>
              <c:strCache>
                <c:ptCount val="1"/>
                <c:pt idx="0">
                  <c:v>Utilidad neta/Total activos (ROA) </c:v>
                </c:pt>
              </c:strCache>
            </c:strRef>
          </c:tx>
          <c:spPr>
            <a:blipFill>
              <a:blip xmlns:r="http://schemas.openxmlformats.org/officeDocument/2006/relationships" r:embed="rId1"/>
              <a:tile tx="0" ty="0" sx="100000" sy="100000" flip="none" algn="tl"/>
            </a:blipFill>
            <a:ln w="12700">
              <a:solidFill>
                <a:srgbClr val="000000"/>
              </a:solidFill>
              <a:prstDash val="solid"/>
            </a:ln>
            <a:scene3d>
              <a:camera prst="orthographicFront"/>
              <a:lightRig rig="threePt" dir="t"/>
            </a:scene3d>
            <a:sp3d prstMaterial="plastic">
              <a:bevelT prst="relaxedInset"/>
            </a:sp3d>
          </c:spPr>
          <c:dLbls>
            <c:dLbl>
              <c:idx val="2"/>
              <c:layout>
                <c:manualLayout>
                  <c:x val="0"/>
                  <c:y val="-7.1588366890380284E-2"/>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dLblPos val="outEnd"/>
            <c:showVal val="1"/>
          </c:dLbls>
          <c:cat>
            <c:strRef>
              <c:f>'DATOS CALCULO INDICADORES'!$C$24:$AL$24</c:f>
              <c:strCache>
                <c:ptCount val="5"/>
                <c:pt idx="0">
                  <c:v>DIC 2010</c:v>
                </c:pt>
                <c:pt idx="1">
                  <c:v>DIC 2011</c:v>
                </c:pt>
                <c:pt idx="2">
                  <c:v>DIC 2012</c:v>
                </c:pt>
                <c:pt idx="3">
                  <c:v>DIC 2013</c:v>
                </c:pt>
                <c:pt idx="4">
                  <c:v>DIC 2014</c:v>
                </c:pt>
              </c:strCache>
            </c:strRef>
          </c:cat>
          <c:val>
            <c:numRef>
              <c:f>'DATOS CALCULO INDICADORES'!$C$25:$AL$25</c:f>
              <c:numCache>
                <c:formatCode>0.00%</c:formatCode>
                <c:ptCount val="5"/>
                <c:pt idx="0">
                  <c:v>7.5090859940528485E-4</c:v>
                </c:pt>
                <c:pt idx="1">
                  <c:v>2.1117116055782204E-2</c:v>
                </c:pt>
                <c:pt idx="2">
                  <c:v>1.5056793167209599E-2</c:v>
                </c:pt>
                <c:pt idx="3">
                  <c:v>4.0903909340843899E-3</c:v>
                </c:pt>
                <c:pt idx="4">
                  <c:v>7.4017908723281673E-3</c:v>
                </c:pt>
              </c:numCache>
            </c:numRef>
          </c:val>
        </c:ser>
        <c:gapWidth val="50"/>
        <c:axId val="165585280"/>
        <c:axId val="165586816"/>
      </c:barChart>
      <c:lineChart>
        <c:grouping val="standard"/>
        <c:ser>
          <c:idx val="1"/>
          <c:order val="1"/>
          <c:tx>
            <c:strRef>
              <c:f>'DATOS CALCULO INDICADORES'!$B$26</c:f>
              <c:strCache>
                <c:ptCount val="1"/>
                <c:pt idx="0">
                  <c:v>EXCELENTE</c:v>
                </c:pt>
              </c:strCache>
            </c:strRef>
          </c:tx>
          <c:spPr>
            <a:ln w="25400">
              <a:solidFill>
                <a:srgbClr val="008000"/>
              </a:solidFill>
              <a:prstDash val="solid"/>
            </a:ln>
          </c:spPr>
          <c:marker>
            <c:symbol val="none"/>
          </c:marker>
          <c:cat>
            <c:strRef>
              <c:f>'DATOS CALCULO INDICADORES'!$C$24:$AL$24</c:f>
              <c:strCache>
                <c:ptCount val="5"/>
                <c:pt idx="0">
                  <c:v>DIC 2010</c:v>
                </c:pt>
                <c:pt idx="1">
                  <c:v>DIC 2011</c:v>
                </c:pt>
                <c:pt idx="2">
                  <c:v>DIC 2012</c:v>
                </c:pt>
                <c:pt idx="3">
                  <c:v>DIC 2013</c:v>
                </c:pt>
                <c:pt idx="4">
                  <c:v>DIC 2014</c:v>
                </c:pt>
              </c:strCache>
            </c:strRef>
          </c:cat>
          <c:val>
            <c:numRef>
              <c:f>'DATOS CALCULO INDICADORES'!$C$26:$AL$26</c:f>
              <c:numCache>
                <c:formatCode>0.00%</c:formatCode>
                <c:ptCount val="5"/>
                <c:pt idx="0">
                  <c:v>1.2000000000000005E-2</c:v>
                </c:pt>
                <c:pt idx="1">
                  <c:v>1.2000000000000005E-2</c:v>
                </c:pt>
                <c:pt idx="2">
                  <c:v>1.2000000000000005E-2</c:v>
                </c:pt>
                <c:pt idx="3">
                  <c:v>1.2000000000000005E-2</c:v>
                </c:pt>
                <c:pt idx="4">
                  <c:v>1.2000000000000005E-2</c:v>
                </c:pt>
              </c:numCache>
            </c:numRef>
          </c:val>
        </c:ser>
        <c:ser>
          <c:idx val="2"/>
          <c:order val="2"/>
          <c:tx>
            <c:strRef>
              <c:f>'DATOS CALCULO INDICADORES'!$B$27</c:f>
              <c:strCache>
                <c:ptCount val="1"/>
                <c:pt idx="0">
                  <c:v>REGULAR</c:v>
                </c:pt>
              </c:strCache>
            </c:strRef>
          </c:tx>
          <c:spPr>
            <a:ln w="25400">
              <a:solidFill>
                <a:srgbClr val="0000FF"/>
              </a:solidFill>
              <a:prstDash val="solid"/>
            </a:ln>
          </c:spPr>
          <c:marker>
            <c:symbol val="none"/>
          </c:marker>
          <c:cat>
            <c:strRef>
              <c:f>'DATOS CALCULO INDICADORES'!$C$24:$AL$24</c:f>
              <c:strCache>
                <c:ptCount val="5"/>
                <c:pt idx="0">
                  <c:v>DIC 2010</c:v>
                </c:pt>
                <c:pt idx="1">
                  <c:v>DIC 2011</c:v>
                </c:pt>
                <c:pt idx="2">
                  <c:v>DIC 2012</c:v>
                </c:pt>
                <c:pt idx="3">
                  <c:v>DIC 2013</c:v>
                </c:pt>
                <c:pt idx="4">
                  <c:v>DIC 2014</c:v>
                </c:pt>
              </c:strCache>
            </c:strRef>
          </c:cat>
          <c:val>
            <c:numRef>
              <c:f>'DATOS CALCULO INDICADORES'!$C$27:$AL$27</c:f>
              <c:numCache>
                <c:formatCode>0.00%</c:formatCode>
                <c:ptCount val="5"/>
                <c:pt idx="0">
                  <c:v>8.0000000000000227E-3</c:v>
                </c:pt>
                <c:pt idx="1">
                  <c:v>8.0000000000000227E-3</c:v>
                </c:pt>
                <c:pt idx="2">
                  <c:v>8.0000000000000227E-3</c:v>
                </c:pt>
                <c:pt idx="3">
                  <c:v>8.0000000000000227E-3</c:v>
                </c:pt>
                <c:pt idx="4">
                  <c:v>8.0000000000000227E-3</c:v>
                </c:pt>
              </c:numCache>
            </c:numRef>
          </c:val>
        </c:ser>
        <c:ser>
          <c:idx val="3"/>
          <c:order val="3"/>
          <c:tx>
            <c:strRef>
              <c:f>'DATOS CALCULO INDICADORES'!$B$28</c:f>
              <c:strCache>
                <c:ptCount val="1"/>
                <c:pt idx="0">
                  <c:v>DEFICIENTE</c:v>
                </c:pt>
              </c:strCache>
            </c:strRef>
          </c:tx>
          <c:spPr>
            <a:ln w="25400">
              <a:solidFill>
                <a:srgbClr val="FF0000"/>
              </a:solidFill>
              <a:prstDash val="solid"/>
            </a:ln>
          </c:spPr>
          <c:marker>
            <c:symbol val="none"/>
          </c:marker>
          <c:cat>
            <c:strRef>
              <c:f>'DATOS CALCULO INDICADORES'!$C$24:$AL$24</c:f>
              <c:strCache>
                <c:ptCount val="5"/>
                <c:pt idx="0">
                  <c:v>DIC 2010</c:v>
                </c:pt>
                <c:pt idx="1">
                  <c:v>DIC 2011</c:v>
                </c:pt>
                <c:pt idx="2">
                  <c:v>DIC 2012</c:v>
                </c:pt>
                <c:pt idx="3">
                  <c:v>DIC 2013</c:v>
                </c:pt>
                <c:pt idx="4">
                  <c:v>DIC 2014</c:v>
                </c:pt>
              </c:strCache>
            </c:strRef>
          </c:cat>
          <c:val>
            <c:numRef>
              <c:f>'DATOS CALCULO INDICADORES'!$C$28:$AL$28</c:f>
              <c:numCache>
                <c:formatCode>0.00%</c:formatCode>
                <c:ptCount val="5"/>
                <c:pt idx="0">
                  <c:v>2.0000000000000052E-3</c:v>
                </c:pt>
                <c:pt idx="1">
                  <c:v>2.0000000000000052E-3</c:v>
                </c:pt>
                <c:pt idx="2">
                  <c:v>2.0000000000000052E-3</c:v>
                </c:pt>
                <c:pt idx="3">
                  <c:v>2.0000000000000052E-3</c:v>
                </c:pt>
                <c:pt idx="4">
                  <c:v>2.0000000000000052E-3</c:v>
                </c:pt>
              </c:numCache>
            </c:numRef>
          </c:val>
        </c:ser>
        <c:marker val="1"/>
        <c:axId val="165585280"/>
        <c:axId val="165586816"/>
      </c:lineChart>
      <c:catAx>
        <c:axId val="165585280"/>
        <c:scaling>
          <c:orientation val="minMax"/>
        </c:scaling>
        <c:axPos val="b"/>
        <c:numFmt formatCode="@" sourceLinked="1"/>
        <c:tickLblPos val="nextTo"/>
        <c:spPr>
          <a:ln w="3175">
            <a:solidFill>
              <a:srgbClr val="000000"/>
            </a:solidFill>
            <a:prstDash val="solid"/>
          </a:ln>
        </c:spPr>
        <c:txPr>
          <a:bodyPr rot="0" vert="horz"/>
          <a:lstStyle/>
          <a:p>
            <a:pPr>
              <a:defRPr lang="es-ES" sz="700" b="1" i="0" u="none" strike="noStrike" baseline="0">
                <a:solidFill>
                  <a:srgbClr val="000000"/>
                </a:solidFill>
                <a:latin typeface="Arial"/>
                <a:ea typeface="Arial"/>
                <a:cs typeface="Arial"/>
              </a:defRPr>
            </a:pPr>
            <a:endParaRPr lang="es-ES"/>
          </a:p>
        </c:txPr>
        <c:crossAx val="165586816"/>
        <c:crosses val="autoZero"/>
        <c:auto val="1"/>
        <c:lblAlgn val="ctr"/>
        <c:lblOffset val="100"/>
        <c:tickLblSkip val="1"/>
        <c:tickMarkSkip val="1"/>
      </c:catAx>
      <c:valAx>
        <c:axId val="165586816"/>
        <c:scaling>
          <c:orientation val="minMax"/>
          <c:max val="3.0000000000000002E-2"/>
          <c:min val="-1.0000000000000005E-2"/>
        </c:scaling>
        <c:axPos val="l"/>
        <c:numFmt formatCode="0%" sourceLinked="0"/>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ES"/>
          </a:p>
        </c:txPr>
        <c:crossAx val="165585280"/>
        <c:crosses val="autoZero"/>
        <c:crossBetween val="between"/>
        <c:majorUnit val="1.0000000000000005E-2"/>
        <c:minorUnit val="1.0000000000000005E-2"/>
      </c:valAx>
      <c:spPr>
        <a:noFill/>
        <a:ln w="25400">
          <a:noFill/>
        </a:ln>
      </c:spPr>
    </c:plotArea>
    <c:legend>
      <c:legendPos val="r"/>
      <c:legendEntry>
        <c:idx val="0"/>
        <c:txPr>
          <a:bodyPr/>
          <a:lstStyle/>
          <a:p>
            <a:pPr>
              <a:defRPr sz="800" b="1" i="0" u="none" strike="noStrike" baseline="0">
                <a:solidFill>
                  <a:srgbClr val="000000"/>
                </a:solidFill>
                <a:latin typeface="Arial"/>
                <a:ea typeface="Arial"/>
                <a:cs typeface="Arial"/>
              </a:defRPr>
            </a:pPr>
            <a:endParaRPr lang="es-ES"/>
          </a:p>
        </c:txPr>
      </c:legendEntry>
      <c:layout>
        <c:manualLayout>
          <c:xMode val="edge"/>
          <c:yMode val="edge"/>
          <c:x val="0.18795202836976221"/>
          <c:y val="2.6845681571285203E-2"/>
          <c:w val="0.5710853492711"/>
          <c:h val="0.19686836125350088"/>
        </c:manualLayout>
      </c:layout>
      <c:spPr>
        <a:solidFill>
          <a:srgbClr val="FFFFFF"/>
        </a:solidFill>
        <a:ln w="3175">
          <a:solidFill>
            <a:srgbClr val="000000"/>
          </a:solidFill>
          <a:prstDash val="solid"/>
        </a:ln>
      </c:spPr>
      <c:txPr>
        <a:bodyPr/>
        <a:lstStyle/>
        <a:p>
          <a:pPr>
            <a:defRPr lang="es-ES" sz="7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50" b="0" i="0" u="none" strike="noStrike" baseline="0">
          <a:solidFill>
            <a:srgbClr val="000000"/>
          </a:solidFill>
          <a:latin typeface="Arial"/>
          <a:ea typeface="Arial"/>
          <a:cs typeface="Arial"/>
        </a:defRPr>
      </a:pPr>
      <a:endParaRPr lang="es-E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0243902439024398"/>
          <c:y val="0.167832454368673"/>
          <c:w val="0.88048780487804856"/>
          <c:h val="0.69230887427078502"/>
        </c:manualLayout>
      </c:layout>
      <c:barChart>
        <c:barDir val="col"/>
        <c:grouping val="clustered"/>
        <c:ser>
          <c:idx val="0"/>
          <c:order val="0"/>
          <c:tx>
            <c:strRef>
              <c:f>'DATOS CALCULO INDICADORES'!$B$35</c:f>
              <c:strCache>
                <c:ptCount val="1"/>
                <c:pt idx="0">
                  <c:v>Activo liquido/Activo total</c:v>
                </c:pt>
              </c:strCache>
            </c:strRef>
          </c:tx>
          <c:spPr>
            <a:solidFill>
              <a:srgbClr val="339966"/>
            </a:solidFill>
            <a:ln w="12700">
              <a:solidFill>
                <a:srgbClr val="000000"/>
              </a:solidFill>
              <a:prstDash val="solid"/>
            </a:ln>
          </c:spPr>
          <c:dLbls>
            <c:dLbl>
              <c:idx val="0"/>
              <c:layout>
                <c:manualLayout>
                  <c:x val="5.4310037021029836E-3"/>
                  <c:y val="-8.0055264027957245E-3"/>
                </c:manualLayout>
              </c:layout>
              <c:dLblPos val="outEnd"/>
              <c:showVal val="1"/>
            </c:dLbl>
            <c:dLbl>
              <c:idx val="1"/>
              <c:layout>
                <c:manualLayout>
                  <c:x val="4.5162281544076635E-3"/>
                  <c:y val="-1.48836102666498E-2"/>
                </c:manualLayout>
              </c:layout>
              <c:dLblPos val="outEnd"/>
              <c:showVal val="1"/>
            </c:dLbl>
            <c:dLbl>
              <c:idx val="2"/>
              <c:layout>
                <c:manualLayout>
                  <c:x val="1.2747967479674653E-2"/>
                  <c:y val="-2.0978946322222712E-2"/>
                </c:manualLayout>
              </c:layout>
              <c:dLblPos val="outEnd"/>
              <c:showVal val="1"/>
            </c:dLbl>
            <c:dLbl>
              <c:idx val="3"/>
              <c:layout>
                <c:manualLayout>
                  <c:x val="2.2809039114013684E-2"/>
                  <c:y val="-2.0944813202476199E-2"/>
                </c:manualLayout>
              </c:layout>
              <c:dLblPos val="outEnd"/>
              <c:showVal val="1"/>
            </c:dLbl>
            <c:dLbl>
              <c:idx val="4"/>
              <c:layout>
                <c:manualLayout>
                  <c:x val="4.284642224017942E-2"/>
                  <c:y val="-6.5626033199052127E-3"/>
                </c:manualLayout>
              </c:layout>
              <c:dLblPos val="outEnd"/>
              <c:showVal val="1"/>
            </c:dLbl>
            <c:dLbl>
              <c:idx val="5"/>
              <c:layout>
                <c:manualLayout>
                  <c:x val="3.0056974585494261E-2"/>
                  <c:y val="-2.6182111851403216E-2"/>
                </c:manualLayout>
              </c:layout>
              <c:dLblPos val="outEnd"/>
              <c:showVal val="1"/>
            </c:dLbl>
            <c:dLbl>
              <c:idx val="6"/>
              <c:layout>
                <c:manualLayout>
                  <c:x val="4.961193693270507E-3"/>
                  <c:y val="-4.0005836708835008E-2"/>
                </c:manualLayout>
              </c:layout>
              <c:dLblPos val="outEnd"/>
              <c:showVal val="1"/>
            </c:dLbl>
            <c:dLbl>
              <c:idx val="7"/>
              <c:dLblPos val="outEnd"/>
              <c:showVal val="1"/>
            </c:dLbl>
            <c:dLbl>
              <c:idx val="8"/>
              <c:dLblPos val="outEnd"/>
              <c:showVal val="1"/>
            </c:dLbl>
            <c:dLbl>
              <c:idx val="9"/>
              <c:dLblPos val="outEnd"/>
              <c:showVal val="1"/>
            </c:dLbl>
            <c:dLbl>
              <c:idx val="10"/>
              <c:layout>
                <c:manualLayout>
                  <c:x val="0.40415056654503501"/>
                  <c:y val="-0.26942933344007802"/>
                </c:manualLayout>
              </c:layout>
              <c:dLblPos val="outEnd"/>
              <c:showVal val="1"/>
            </c:dLbl>
            <c:dLbl>
              <c:idx val="11"/>
              <c:layout>
                <c:manualLayout>
                  <c:x val="0.44061378913001731"/>
                  <c:y val="-0.22668058612440201"/>
                </c:manualLayout>
              </c:layout>
              <c:dLblPos val="outEnd"/>
              <c:showVal val="1"/>
            </c:dLbl>
            <c:dLbl>
              <c:idx val="12"/>
              <c:layout>
                <c:manualLayout>
                  <c:x val="-0.17902029319505824"/>
                  <c:y val="5.5908558980735212E-2"/>
                </c:manualLayout>
              </c:layout>
              <c:dLblPos val="outEnd"/>
              <c:showVal val="1"/>
            </c:dLbl>
            <c:dLbl>
              <c:idx val="13"/>
              <c:layout>
                <c:manualLayout>
                  <c:x val="-0.18645925356891596"/>
                  <c:y val="0.13896280623796844"/>
                </c:manualLayout>
              </c:layout>
              <c:dLblPos val="outEnd"/>
              <c:showVal val="1"/>
            </c:dLbl>
            <c:dLbl>
              <c:idx val="14"/>
              <c:layout>
                <c:manualLayout>
                  <c:x val="-0.20853236028423341"/>
                  <c:y val="6.4205435053137194E-2"/>
                </c:manualLayout>
              </c:layout>
              <c:dLblPos val="outEnd"/>
              <c:showVal val="1"/>
            </c:dLbl>
            <c:dLbl>
              <c:idx val="15"/>
              <c:layout>
                <c:manualLayout>
                  <c:x val="-0.19158133282120388"/>
                  <c:y val="7.2099291406687818E-2"/>
                </c:manualLayout>
              </c:layout>
              <c:dLblPos val="outEnd"/>
              <c:showVal val="1"/>
            </c:dLbl>
            <c:dLbl>
              <c:idx val="16"/>
              <c:layout>
                <c:manualLayout>
                  <c:x val="-0.24048370782920561"/>
                  <c:y val="0.14789917767927704"/>
                </c:manualLayout>
              </c:layout>
              <c:dLblPos val="outEnd"/>
              <c:showVal val="1"/>
            </c:dLbl>
            <c:dLbl>
              <c:idx val="17"/>
              <c:layout>
                <c:manualLayout>
                  <c:x val="-0.21865437552013461"/>
                  <c:y val="3.0380924832183707E-3"/>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INDICADORES'!$C$34:$AL$34</c:f>
              <c:strCache>
                <c:ptCount val="5"/>
                <c:pt idx="0">
                  <c:v>DIC 2010</c:v>
                </c:pt>
                <c:pt idx="1">
                  <c:v>DIC 2011</c:v>
                </c:pt>
                <c:pt idx="2">
                  <c:v>DIC 2012</c:v>
                </c:pt>
                <c:pt idx="3">
                  <c:v>DIC 2013</c:v>
                </c:pt>
                <c:pt idx="4">
                  <c:v>DIC 2014</c:v>
                </c:pt>
              </c:strCache>
            </c:strRef>
          </c:cat>
          <c:val>
            <c:numRef>
              <c:f>'DATOS CALCULO INDICADORES'!$C$35:$AL$35</c:f>
              <c:numCache>
                <c:formatCode>0.00%</c:formatCode>
                <c:ptCount val="5"/>
                <c:pt idx="0">
                  <c:v>0.61256119905085049</c:v>
                </c:pt>
                <c:pt idx="1">
                  <c:v>0.59292856406555949</c:v>
                </c:pt>
                <c:pt idx="2">
                  <c:v>0.56799037304452804</c:v>
                </c:pt>
                <c:pt idx="3">
                  <c:v>0.47476698182793675</c:v>
                </c:pt>
                <c:pt idx="4">
                  <c:v>0.55791450028885003</c:v>
                </c:pt>
              </c:numCache>
            </c:numRef>
          </c:val>
        </c:ser>
        <c:gapWidth val="50"/>
        <c:axId val="165811712"/>
        <c:axId val="165813248"/>
      </c:barChart>
      <c:lineChart>
        <c:grouping val="standard"/>
        <c:ser>
          <c:idx val="1"/>
          <c:order val="1"/>
          <c:tx>
            <c:strRef>
              <c:f>'DATOS CALCULO INDICADORES'!$B$36</c:f>
              <c:strCache>
                <c:ptCount val="1"/>
                <c:pt idx="0">
                  <c:v>EXCELENTE</c:v>
                </c:pt>
              </c:strCache>
            </c:strRef>
          </c:tx>
          <c:spPr>
            <a:ln w="25400">
              <a:solidFill>
                <a:srgbClr val="008000"/>
              </a:solidFill>
              <a:prstDash val="solid"/>
            </a:ln>
          </c:spPr>
          <c:marker>
            <c:symbol val="none"/>
          </c:marker>
          <c:cat>
            <c:strRef>
              <c:f>'DATOS CALCULO INDICADORES'!$C$34:$AL$34</c:f>
              <c:strCache>
                <c:ptCount val="5"/>
                <c:pt idx="0">
                  <c:v>DIC 2010</c:v>
                </c:pt>
                <c:pt idx="1">
                  <c:v>DIC 2011</c:v>
                </c:pt>
                <c:pt idx="2">
                  <c:v>DIC 2012</c:v>
                </c:pt>
                <c:pt idx="3">
                  <c:v>DIC 2013</c:v>
                </c:pt>
                <c:pt idx="4">
                  <c:v>DIC 2014</c:v>
                </c:pt>
              </c:strCache>
            </c:strRef>
          </c:cat>
          <c:val>
            <c:numRef>
              <c:f>'DATOS CALCULO INDICADORES'!$C$36:$AL$36</c:f>
              <c:numCache>
                <c:formatCode>0.00%</c:formatCode>
                <c:ptCount val="5"/>
                <c:pt idx="0">
                  <c:v>0.15034851860031501</c:v>
                </c:pt>
                <c:pt idx="1">
                  <c:v>0.15034851860031501</c:v>
                </c:pt>
                <c:pt idx="2">
                  <c:v>0.15034851860031501</c:v>
                </c:pt>
                <c:pt idx="3">
                  <c:v>0.15034851860031501</c:v>
                </c:pt>
                <c:pt idx="4">
                  <c:v>0.15034851860031501</c:v>
                </c:pt>
              </c:numCache>
            </c:numRef>
          </c:val>
        </c:ser>
        <c:ser>
          <c:idx val="2"/>
          <c:order val="2"/>
          <c:tx>
            <c:strRef>
              <c:f>'DATOS CALCULO INDICADORES'!$B$37</c:f>
              <c:strCache>
                <c:ptCount val="1"/>
                <c:pt idx="0">
                  <c:v>REGULAR</c:v>
                </c:pt>
              </c:strCache>
            </c:strRef>
          </c:tx>
          <c:spPr>
            <a:ln w="25400">
              <a:solidFill>
                <a:srgbClr val="3366FF"/>
              </a:solidFill>
              <a:prstDash val="solid"/>
            </a:ln>
          </c:spPr>
          <c:marker>
            <c:symbol val="none"/>
          </c:marker>
          <c:cat>
            <c:strRef>
              <c:f>'DATOS CALCULO INDICADORES'!$C$34:$AL$34</c:f>
              <c:strCache>
                <c:ptCount val="5"/>
                <c:pt idx="0">
                  <c:v>DIC 2010</c:v>
                </c:pt>
                <c:pt idx="1">
                  <c:v>DIC 2011</c:v>
                </c:pt>
                <c:pt idx="2">
                  <c:v>DIC 2012</c:v>
                </c:pt>
                <c:pt idx="3">
                  <c:v>DIC 2013</c:v>
                </c:pt>
                <c:pt idx="4">
                  <c:v>DIC 2014</c:v>
                </c:pt>
              </c:strCache>
            </c:strRef>
          </c:cat>
          <c:val>
            <c:numRef>
              <c:f>'DATOS CALCULO INDICADORES'!$C$37:$AL$37</c:f>
              <c:numCache>
                <c:formatCode>0.00%</c:formatCode>
                <c:ptCount val="5"/>
                <c:pt idx="0">
                  <c:v>0.12027881488025202</c:v>
                </c:pt>
                <c:pt idx="1">
                  <c:v>0.12027881488025202</c:v>
                </c:pt>
                <c:pt idx="2">
                  <c:v>0.12027881488025202</c:v>
                </c:pt>
                <c:pt idx="3">
                  <c:v>0.12027881488025202</c:v>
                </c:pt>
                <c:pt idx="4">
                  <c:v>0.12027881488025202</c:v>
                </c:pt>
              </c:numCache>
            </c:numRef>
          </c:val>
        </c:ser>
        <c:ser>
          <c:idx val="3"/>
          <c:order val="3"/>
          <c:tx>
            <c:strRef>
              <c:f>'DATOS CALCULO INDICADORES'!$B$38</c:f>
              <c:strCache>
                <c:ptCount val="1"/>
                <c:pt idx="0">
                  <c:v>DEFICIENTE</c:v>
                </c:pt>
              </c:strCache>
            </c:strRef>
          </c:tx>
          <c:spPr>
            <a:ln w="25400">
              <a:solidFill>
                <a:srgbClr val="FF0000"/>
              </a:solidFill>
              <a:prstDash val="solid"/>
            </a:ln>
          </c:spPr>
          <c:marker>
            <c:symbol val="none"/>
          </c:marker>
          <c:cat>
            <c:strRef>
              <c:f>'DATOS CALCULO INDICADORES'!$C$34:$AL$34</c:f>
              <c:strCache>
                <c:ptCount val="5"/>
                <c:pt idx="0">
                  <c:v>DIC 2010</c:v>
                </c:pt>
                <c:pt idx="1">
                  <c:v>DIC 2011</c:v>
                </c:pt>
                <c:pt idx="2">
                  <c:v>DIC 2012</c:v>
                </c:pt>
                <c:pt idx="3">
                  <c:v>DIC 2013</c:v>
                </c:pt>
                <c:pt idx="4">
                  <c:v>DIC 2014</c:v>
                </c:pt>
              </c:strCache>
            </c:strRef>
          </c:cat>
          <c:val>
            <c:numRef>
              <c:f>'DATOS CALCULO INDICADORES'!$C$38:$AL$38</c:f>
              <c:numCache>
                <c:formatCode>0.00%</c:formatCode>
                <c:ptCount val="5"/>
                <c:pt idx="0">
                  <c:v>9.0209111160188649E-2</c:v>
                </c:pt>
                <c:pt idx="1">
                  <c:v>9.0209111160188649E-2</c:v>
                </c:pt>
                <c:pt idx="2">
                  <c:v>9.0209111160188649E-2</c:v>
                </c:pt>
                <c:pt idx="3">
                  <c:v>9.0209111160188649E-2</c:v>
                </c:pt>
                <c:pt idx="4">
                  <c:v>9.0209111160188649E-2</c:v>
                </c:pt>
              </c:numCache>
            </c:numRef>
          </c:val>
        </c:ser>
        <c:marker val="1"/>
        <c:axId val="165811712"/>
        <c:axId val="165813248"/>
      </c:lineChart>
      <c:catAx>
        <c:axId val="165811712"/>
        <c:scaling>
          <c:orientation val="minMax"/>
        </c:scaling>
        <c:axPos val="b"/>
        <c:numFmt formatCode="@" sourceLinked="1"/>
        <c:tickLblPos val="nextTo"/>
        <c:spPr>
          <a:ln w="3175">
            <a:solidFill>
              <a:srgbClr val="000000"/>
            </a:solidFill>
            <a:prstDash val="solid"/>
          </a:ln>
        </c:spPr>
        <c:txPr>
          <a:bodyPr rot="0" vert="horz"/>
          <a:lstStyle/>
          <a:p>
            <a:pPr>
              <a:defRPr lang="es-ES" sz="875" b="1" i="0" u="none" strike="noStrike" baseline="0">
                <a:solidFill>
                  <a:srgbClr val="000000"/>
                </a:solidFill>
                <a:latin typeface="Arial"/>
                <a:ea typeface="Arial"/>
                <a:cs typeface="Arial"/>
              </a:defRPr>
            </a:pPr>
            <a:endParaRPr lang="es-ES"/>
          </a:p>
        </c:txPr>
        <c:crossAx val="165813248"/>
        <c:crosses val="autoZero"/>
        <c:auto val="1"/>
        <c:lblAlgn val="ctr"/>
        <c:lblOffset val="100"/>
        <c:tickLblSkip val="1"/>
        <c:tickMarkSkip val="1"/>
      </c:catAx>
      <c:valAx>
        <c:axId val="165813248"/>
        <c:scaling>
          <c:orientation val="minMax"/>
          <c:max val="0.8"/>
          <c:min val="0"/>
        </c:scaling>
        <c:axPos val="l"/>
        <c:numFmt formatCode="0%" sourceLinked="0"/>
        <c:tickLblPos val="nextTo"/>
        <c:spPr>
          <a:ln w="3175">
            <a:solidFill>
              <a:srgbClr val="000000"/>
            </a:solidFill>
            <a:prstDash val="solid"/>
          </a:ln>
        </c:spPr>
        <c:txPr>
          <a:bodyPr rot="0" vert="horz"/>
          <a:lstStyle/>
          <a:p>
            <a:pPr>
              <a:defRPr lang="es-ES" sz="875" b="0" i="0" u="none" strike="noStrike" baseline="0">
                <a:solidFill>
                  <a:srgbClr val="000000"/>
                </a:solidFill>
                <a:latin typeface="Arial"/>
                <a:ea typeface="Arial"/>
                <a:cs typeface="Arial"/>
              </a:defRPr>
            </a:pPr>
            <a:endParaRPr lang="es-ES"/>
          </a:p>
        </c:txPr>
        <c:crossAx val="165811712"/>
        <c:crosses val="autoZero"/>
        <c:crossBetween val="between"/>
        <c:majorUnit val="0.2"/>
        <c:minorUnit val="1.0000000000000005E-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4.4715447154472246E-2"/>
          <c:y val="1.9813519813519993E-2"/>
          <c:w val="0.92926829268292699"/>
          <c:h val="0.139860378640561"/>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25" b="0"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s-ES"/>
  <c:roundedCorners val="1"/>
  <c:chart>
    <c:plotArea>
      <c:layout>
        <c:manualLayout>
          <c:layoutTarget val="inner"/>
          <c:xMode val="edge"/>
          <c:yMode val="edge"/>
          <c:x val="0.11414405889430188"/>
          <c:y val="0.19649190135657021"/>
          <c:w val="0.87593158238454405"/>
          <c:h val="0.69123043870079104"/>
        </c:manualLayout>
      </c:layout>
      <c:barChart>
        <c:barDir val="col"/>
        <c:grouping val="clustered"/>
        <c:ser>
          <c:idx val="0"/>
          <c:order val="0"/>
          <c:tx>
            <c:strRef>
              <c:f>'DATOS CALCULO INDICADORES'!$B$40</c:f>
              <c:strCache>
                <c:ptCount val="1"/>
                <c:pt idx="0">
                  <c:v>Activo liquido/Depósitos y Exigibilidades</c:v>
                </c:pt>
              </c:strCache>
            </c:strRef>
          </c:tx>
          <c:spPr>
            <a:solidFill>
              <a:srgbClr val="008080"/>
            </a:solidFill>
            <a:ln w="12700">
              <a:solidFill>
                <a:srgbClr val="000000"/>
              </a:solidFill>
              <a:prstDash val="solid"/>
            </a:ln>
          </c:spPr>
          <c:dLbls>
            <c:dLbl>
              <c:idx val="0"/>
              <c:layout>
                <c:manualLayout>
                  <c:x val="5.4427005917581164E-3"/>
                  <c:y val="-1.7799575900470106E-2"/>
                </c:manualLayout>
              </c:layout>
              <c:dLblPos val="outEnd"/>
              <c:showVal val="1"/>
            </c:dLbl>
            <c:dLbl>
              <c:idx val="1"/>
              <c:layout>
                <c:manualLayout>
                  <c:x val="6.5181831558078834E-3"/>
                  <c:y val="2.0499827238816711E-2"/>
                </c:manualLayout>
              </c:layout>
              <c:dLblPos val="outEnd"/>
              <c:showVal val="1"/>
            </c:dLbl>
            <c:dLbl>
              <c:idx val="2"/>
              <c:layout>
                <c:manualLayout>
                  <c:x val="1.2390627848592701E-2"/>
                  <c:y val="-1.977552253753229E-2"/>
                </c:manualLayout>
              </c:layout>
              <c:dLblPos val="outEnd"/>
              <c:showVal val="1"/>
            </c:dLbl>
            <c:dLbl>
              <c:idx val="3"/>
              <c:layout>
                <c:manualLayout>
                  <c:x val="8.420354464837021E-3"/>
                  <c:y val="-4.3728242621216107E-2"/>
                </c:manualLayout>
              </c:layout>
              <c:dLblPos val="outEnd"/>
              <c:showVal val="1"/>
            </c:dLbl>
            <c:dLbl>
              <c:idx val="4"/>
              <c:layout>
                <c:manualLayout>
                  <c:x val="-1.3676950430823902E-3"/>
                  <c:y val="-9.7884606529447023E-3"/>
                </c:manualLayout>
              </c:layout>
              <c:dLblPos val="outEnd"/>
              <c:showVal val="1"/>
            </c:dLbl>
            <c:dLbl>
              <c:idx val="5"/>
              <c:dLblPos val="outEnd"/>
              <c:showVal val="1"/>
            </c:dLbl>
            <c:dLbl>
              <c:idx val="6"/>
              <c:layout>
                <c:manualLayout>
                  <c:x val="4.2391119309505504E-3"/>
                  <c:y val="-2.6432077346264286E-2"/>
                </c:manualLayout>
              </c:layout>
              <c:dLblPos val="outEnd"/>
              <c:showVal val="1"/>
            </c:dLbl>
            <c:dLbl>
              <c:idx val="7"/>
              <c:dLblPos val="outEnd"/>
              <c:showVal val="1"/>
            </c:dLbl>
            <c:dLbl>
              <c:idx val="8"/>
              <c:layout>
                <c:manualLayout>
                  <c:x val="0.38627455019061752"/>
                  <c:y val="-0.30855897635108576"/>
                </c:manualLayout>
              </c:layout>
              <c:dLblPos val="outEnd"/>
              <c:showVal val="1"/>
            </c:dLbl>
            <c:dLbl>
              <c:idx val="9"/>
              <c:layout>
                <c:manualLayout>
                  <c:x val="0.35488505218765687"/>
                  <c:y val="0.40574252011772399"/>
                </c:manualLayout>
              </c:layout>
              <c:dLblPos val="outEnd"/>
              <c:showVal val="1"/>
            </c:dLbl>
            <c:dLbl>
              <c:idx val="10"/>
              <c:layout>
                <c:manualLayout>
                  <c:x val="0.40786264154975116"/>
                  <c:y val="-0.26676201567830099"/>
                </c:manualLayout>
              </c:layout>
              <c:dLblPos val="outEnd"/>
              <c:showVal val="1"/>
            </c:dLbl>
            <c:dLbl>
              <c:idx val="11"/>
              <c:dLblPos val="outEnd"/>
              <c:showVal val="1"/>
            </c:dLbl>
            <c:dLbl>
              <c:idx val="12"/>
              <c:layout>
                <c:manualLayout>
                  <c:x val="-0.183452974988488"/>
                  <c:y val="5.1980148649881208E-2"/>
                </c:manualLayout>
              </c:layout>
              <c:dLblPos val="outEnd"/>
              <c:showVal val="1"/>
            </c:dLbl>
            <c:dLbl>
              <c:idx val="13"/>
              <c:layout>
                <c:manualLayout>
                  <c:x val="-0.19002880765820387"/>
                  <c:y val="0.13461493501264601"/>
                </c:manualLayout>
              </c:layout>
              <c:dLblPos val="outEnd"/>
              <c:showVal val="1"/>
            </c:dLbl>
            <c:dLbl>
              <c:idx val="14"/>
              <c:layout>
                <c:manualLayout>
                  <c:x val="-0.21149273532253296"/>
                  <c:y val="5.6039961496431333E-2"/>
                </c:manualLayout>
              </c:layout>
              <c:dLblPos val="outEnd"/>
              <c:showVal val="1"/>
            </c:dLbl>
            <c:dLbl>
              <c:idx val="15"/>
              <c:layout>
                <c:manualLayout>
                  <c:x val="-0.19325464214565888"/>
                  <c:y val="5.7677792840936451E-2"/>
                </c:manualLayout>
              </c:layout>
              <c:dLblPos val="outEnd"/>
              <c:showVal val="1"/>
            </c:dLbl>
            <c:dLbl>
              <c:idx val="16"/>
              <c:layout>
                <c:manualLayout>
                  <c:x val="-0.24201388824123396"/>
                  <c:y val="9.8416945470024247E-2"/>
                </c:manualLayout>
              </c:layout>
              <c:dLblPos val="outEnd"/>
              <c:showVal val="1"/>
            </c:dLbl>
            <c:dLbl>
              <c:idx val="17"/>
              <c:layout>
                <c:manualLayout>
                  <c:x val="-0.21881300989504382"/>
                  <c:y val="-3.5357204829620806E-2"/>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INDICADORES'!$C$39:$AL$39</c:f>
              <c:strCache>
                <c:ptCount val="5"/>
                <c:pt idx="0">
                  <c:v>DIC 2010</c:v>
                </c:pt>
                <c:pt idx="1">
                  <c:v>DIC 2011</c:v>
                </c:pt>
                <c:pt idx="2">
                  <c:v>DIC 2012</c:v>
                </c:pt>
                <c:pt idx="3">
                  <c:v>DIC 2013</c:v>
                </c:pt>
                <c:pt idx="4">
                  <c:v>DIC 2014</c:v>
                </c:pt>
              </c:strCache>
            </c:strRef>
          </c:cat>
          <c:val>
            <c:numRef>
              <c:f>'DATOS CALCULO INDICADORES'!$C$40:$AL$40</c:f>
              <c:numCache>
                <c:formatCode>0.00%</c:formatCode>
                <c:ptCount val="5"/>
                <c:pt idx="0">
                  <c:v>0.74898086598846803</c:v>
                </c:pt>
                <c:pt idx="1">
                  <c:v>0.74403134008426297</c:v>
                </c:pt>
                <c:pt idx="2">
                  <c:v>0.78351350257095131</c:v>
                </c:pt>
                <c:pt idx="3">
                  <c:v>0.64489743870004268</c:v>
                </c:pt>
                <c:pt idx="4">
                  <c:v>0.74008557379143003</c:v>
                </c:pt>
              </c:numCache>
            </c:numRef>
          </c:val>
        </c:ser>
        <c:gapWidth val="50"/>
        <c:axId val="165751424"/>
        <c:axId val="165790080"/>
      </c:barChart>
      <c:lineChart>
        <c:grouping val="standard"/>
        <c:ser>
          <c:idx val="1"/>
          <c:order val="1"/>
          <c:tx>
            <c:strRef>
              <c:f>'DATOS CALCULO INDICADORES'!$B$41</c:f>
              <c:strCache>
                <c:ptCount val="1"/>
                <c:pt idx="0">
                  <c:v>EXCELENTE</c:v>
                </c:pt>
              </c:strCache>
            </c:strRef>
          </c:tx>
          <c:spPr>
            <a:ln w="25400">
              <a:solidFill>
                <a:srgbClr val="008000"/>
              </a:solidFill>
              <a:prstDash val="solid"/>
            </a:ln>
          </c:spPr>
          <c:marker>
            <c:symbol val="none"/>
          </c:marker>
          <c:cat>
            <c:strRef>
              <c:f>'DATOS CALCULO INDICADORES'!$C$39:$AL$39</c:f>
              <c:strCache>
                <c:ptCount val="5"/>
                <c:pt idx="0">
                  <c:v>DIC 2010</c:v>
                </c:pt>
                <c:pt idx="1">
                  <c:v>DIC 2011</c:v>
                </c:pt>
                <c:pt idx="2">
                  <c:v>DIC 2012</c:v>
                </c:pt>
                <c:pt idx="3">
                  <c:v>DIC 2013</c:v>
                </c:pt>
                <c:pt idx="4">
                  <c:v>DIC 2014</c:v>
                </c:pt>
              </c:strCache>
            </c:strRef>
          </c:cat>
          <c:val>
            <c:numRef>
              <c:f>'DATOS CALCULO INDICADORES'!$C$41:$AL$41</c:f>
              <c:numCache>
                <c:formatCode>0.00%</c:formatCode>
                <c:ptCount val="5"/>
                <c:pt idx="0">
                  <c:v>0.20361929626567121</c:v>
                </c:pt>
                <c:pt idx="1">
                  <c:v>0.20361929626567121</c:v>
                </c:pt>
                <c:pt idx="2">
                  <c:v>0.20361929626567121</c:v>
                </c:pt>
                <c:pt idx="3">
                  <c:v>0.20361929626567121</c:v>
                </c:pt>
                <c:pt idx="4">
                  <c:v>0.20361929626567121</c:v>
                </c:pt>
              </c:numCache>
            </c:numRef>
          </c:val>
        </c:ser>
        <c:ser>
          <c:idx val="2"/>
          <c:order val="2"/>
          <c:tx>
            <c:strRef>
              <c:f>'DATOS CALCULO INDICADORES'!$B$42</c:f>
              <c:strCache>
                <c:ptCount val="1"/>
                <c:pt idx="0">
                  <c:v>REGULAR</c:v>
                </c:pt>
              </c:strCache>
            </c:strRef>
          </c:tx>
          <c:spPr>
            <a:ln w="25400">
              <a:solidFill>
                <a:srgbClr val="3366FF"/>
              </a:solidFill>
              <a:prstDash val="solid"/>
            </a:ln>
          </c:spPr>
          <c:marker>
            <c:symbol val="none"/>
          </c:marker>
          <c:cat>
            <c:strRef>
              <c:f>'DATOS CALCULO INDICADORES'!$C$39:$AL$39</c:f>
              <c:strCache>
                <c:ptCount val="5"/>
                <c:pt idx="0">
                  <c:v>DIC 2010</c:v>
                </c:pt>
                <c:pt idx="1">
                  <c:v>DIC 2011</c:v>
                </c:pt>
                <c:pt idx="2">
                  <c:v>DIC 2012</c:v>
                </c:pt>
                <c:pt idx="3">
                  <c:v>DIC 2013</c:v>
                </c:pt>
                <c:pt idx="4">
                  <c:v>DIC 2014</c:v>
                </c:pt>
              </c:strCache>
            </c:strRef>
          </c:cat>
          <c:val>
            <c:numRef>
              <c:f>'DATOS CALCULO INDICADORES'!$C$42:$AL$42</c:f>
              <c:numCache>
                <c:formatCode>0.00%</c:formatCode>
                <c:ptCount val="5"/>
                <c:pt idx="0">
                  <c:v>0.16289543701253761</c:v>
                </c:pt>
                <c:pt idx="1">
                  <c:v>0.16289543701253761</c:v>
                </c:pt>
                <c:pt idx="2">
                  <c:v>0.16289543701253761</c:v>
                </c:pt>
                <c:pt idx="3">
                  <c:v>0.16289543701253761</c:v>
                </c:pt>
                <c:pt idx="4">
                  <c:v>0.16289543701253761</c:v>
                </c:pt>
              </c:numCache>
            </c:numRef>
          </c:val>
        </c:ser>
        <c:ser>
          <c:idx val="3"/>
          <c:order val="3"/>
          <c:tx>
            <c:strRef>
              <c:f>'DATOS CALCULO INDICADORES'!$B$43</c:f>
              <c:strCache>
                <c:ptCount val="1"/>
                <c:pt idx="0">
                  <c:v>DEFICIENTE</c:v>
                </c:pt>
              </c:strCache>
            </c:strRef>
          </c:tx>
          <c:spPr>
            <a:ln w="25400">
              <a:solidFill>
                <a:srgbClr val="FF0000"/>
              </a:solidFill>
              <a:prstDash val="solid"/>
            </a:ln>
          </c:spPr>
          <c:marker>
            <c:symbol val="none"/>
          </c:marker>
          <c:cat>
            <c:strRef>
              <c:f>'DATOS CALCULO INDICADORES'!$C$39:$AL$39</c:f>
              <c:strCache>
                <c:ptCount val="5"/>
                <c:pt idx="0">
                  <c:v>DIC 2010</c:v>
                </c:pt>
                <c:pt idx="1">
                  <c:v>DIC 2011</c:v>
                </c:pt>
                <c:pt idx="2">
                  <c:v>DIC 2012</c:v>
                </c:pt>
                <c:pt idx="3">
                  <c:v>DIC 2013</c:v>
                </c:pt>
                <c:pt idx="4">
                  <c:v>DIC 2014</c:v>
                </c:pt>
              </c:strCache>
            </c:strRef>
          </c:cat>
          <c:val>
            <c:numRef>
              <c:f>'DATOS CALCULO INDICADORES'!$C$43:$AL$43</c:f>
              <c:numCache>
                <c:formatCode>0.00%</c:formatCode>
                <c:ptCount val="5"/>
                <c:pt idx="0">
                  <c:v>0.12217157775940229</c:v>
                </c:pt>
                <c:pt idx="1">
                  <c:v>0.12217157775940229</c:v>
                </c:pt>
                <c:pt idx="2">
                  <c:v>0.12217157775940229</c:v>
                </c:pt>
                <c:pt idx="3">
                  <c:v>0.12217157775940229</c:v>
                </c:pt>
                <c:pt idx="4">
                  <c:v>0.12217157775940229</c:v>
                </c:pt>
              </c:numCache>
            </c:numRef>
          </c:val>
        </c:ser>
        <c:marker val="1"/>
        <c:axId val="165751424"/>
        <c:axId val="165790080"/>
      </c:lineChart>
      <c:catAx>
        <c:axId val="165751424"/>
        <c:scaling>
          <c:orientation val="minMax"/>
        </c:scaling>
        <c:axPos val="b"/>
        <c:numFmt formatCode="@" sourceLinked="1"/>
        <c:tickLblPos val="nextTo"/>
        <c:spPr>
          <a:ln w="3175">
            <a:solidFill>
              <a:srgbClr val="000000"/>
            </a:solidFill>
            <a:prstDash val="solid"/>
          </a:ln>
        </c:spPr>
        <c:txPr>
          <a:bodyPr rot="0" vert="horz"/>
          <a:lstStyle/>
          <a:p>
            <a:pPr>
              <a:defRPr lang="es-ES" sz="850" b="1" i="0" u="none" strike="noStrike" baseline="0">
                <a:solidFill>
                  <a:srgbClr val="000000"/>
                </a:solidFill>
                <a:latin typeface="Arial"/>
                <a:ea typeface="Arial"/>
                <a:cs typeface="Arial"/>
              </a:defRPr>
            </a:pPr>
            <a:endParaRPr lang="es-ES"/>
          </a:p>
        </c:txPr>
        <c:crossAx val="165790080"/>
        <c:crosses val="autoZero"/>
        <c:auto val="1"/>
        <c:lblAlgn val="ctr"/>
        <c:lblOffset val="100"/>
        <c:tickLblSkip val="1"/>
        <c:tickMarkSkip val="1"/>
      </c:catAx>
      <c:valAx>
        <c:axId val="165790080"/>
        <c:scaling>
          <c:orientation val="minMax"/>
          <c:max val="1"/>
          <c:min val="0"/>
        </c:scaling>
        <c:axPos val="l"/>
        <c:numFmt formatCode="0%" sourceLinked="0"/>
        <c:tickLblPos val="nextTo"/>
        <c:spPr>
          <a:ln w="3175">
            <a:solidFill>
              <a:srgbClr val="000000"/>
            </a:solidFill>
            <a:prstDash val="solid"/>
          </a:ln>
        </c:spPr>
        <c:txPr>
          <a:bodyPr rot="0" vert="horz"/>
          <a:lstStyle/>
          <a:p>
            <a:pPr>
              <a:defRPr lang="es-ES" sz="850" b="0" i="0" u="none" strike="noStrike" baseline="0">
                <a:solidFill>
                  <a:srgbClr val="000000"/>
                </a:solidFill>
                <a:latin typeface="Arial"/>
                <a:ea typeface="Arial"/>
                <a:cs typeface="Arial"/>
              </a:defRPr>
            </a:pPr>
            <a:endParaRPr lang="es-ES"/>
          </a:p>
        </c:txPr>
        <c:crossAx val="165751424"/>
        <c:crosses val="autoZero"/>
        <c:crossBetween val="between"/>
        <c:majorUnit val="0.2"/>
        <c:minorUnit val="1.0000000000000005E-2"/>
      </c:valAx>
      <c:spPr>
        <a:noFill/>
        <a:ln w="25400">
          <a:noFill/>
        </a:ln>
      </c:spPr>
    </c:plotArea>
    <c:legend>
      <c:legendPos val="t"/>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3.9702281354539903E-2"/>
          <c:y val="1.7543919763979503E-2"/>
          <c:w val="0.9503733599242975"/>
          <c:h val="0.15438649392301901"/>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1638968368384785"/>
          <c:y val="0.21621621621621773"/>
          <c:w val="0.86698437846132104"/>
          <c:h val="0.66891891891892064"/>
        </c:manualLayout>
      </c:layout>
      <c:barChart>
        <c:barDir val="col"/>
        <c:grouping val="clustered"/>
        <c:ser>
          <c:idx val="0"/>
          <c:order val="0"/>
          <c:tx>
            <c:strRef>
              <c:f>'DATOS CALCULO INDICADORES'!$B$45</c:f>
              <c:strCache>
                <c:ptCount val="1"/>
                <c:pt idx="0">
                  <c:v>Portafolio de créditos/Depósitos y Exigibilidades</c:v>
                </c:pt>
              </c:strCache>
            </c:strRef>
          </c:tx>
          <c:spPr>
            <a:solidFill>
              <a:srgbClr val="00FF00"/>
            </a:solidFill>
            <a:ln w="12700">
              <a:solidFill>
                <a:srgbClr val="000000"/>
              </a:solidFill>
              <a:prstDash val="solid"/>
            </a:ln>
          </c:spPr>
          <c:dLbls>
            <c:dLbl>
              <c:idx val="0"/>
              <c:layout>
                <c:manualLayout>
                  <c:x val="1.5159128364768478E-2"/>
                  <c:y val="4.9099742885641822E-3"/>
                </c:manualLayout>
              </c:layout>
              <c:dLblPos val="outEnd"/>
              <c:showVal val="1"/>
            </c:dLbl>
            <c:dLbl>
              <c:idx val="1"/>
              <c:layout>
                <c:manualLayout>
                  <c:x val="-1.19382286516512E-2"/>
                  <c:y val="1.1558548383355601E-2"/>
                </c:manualLayout>
              </c:layout>
              <c:dLblPos val="outEnd"/>
              <c:showVal val="1"/>
            </c:dLbl>
            <c:dLbl>
              <c:idx val="2"/>
              <c:layout>
                <c:manualLayout>
                  <c:x val="8.0407739730208681E-3"/>
                  <c:y val="8.3686174170445708E-3"/>
                </c:manualLayout>
              </c:layout>
              <c:dLblPos val="outEnd"/>
              <c:showVal val="1"/>
            </c:dLbl>
            <c:dLbl>
              <c:idx val="3"/>
              <c:layout>
                <c:manualLayout>
                  <c:x val="2.0855765122383151E-3"/>
                  <c:y val="1.4110064929851098E-3"/>
                </c:manualLayout>
              </c:layout>
              <c:dLblPos val="outEnd"/>
              <c:showVal val="1"/>
            </c:dLbl>
            <c:dLbl>
              <c:idx val="4"/>
              <c:layout>
                <c:manualLayout>
                  <c:x val="-6.9701519868156691E-3"/>
                  <c:y val="6.0915227200951361E-4"/>
                </c:manualLayout>
              </c:layout>
              <c:dLblPos val="outEnd"/>
              <c:showVal val="1"/>
            </c:dLbl>
            <c:dLbl>
              <c:idx val="5"/>
              <c:layout>
                <c:manualLayout>
                  <c:x val="7.8927188733237293E-3"/>
                  <c:y val="4.8276228984890411E-3"/>
                </c:manualLayout>
              </c:layout>
              <c:dLblPos val="outEnd"/>
              <c:showVal val="1"/>
            </c:dLbl>
            <c:dLbl>
              <c:idx val="6"/>
              <c:layout>
                <c:manualLayout>
                  <c:x val="1.1248558300758871E-2"/>
                  <c:y val="-2.4012555862949599E-2"/>
                </c:manualLayout>
              </c:layout>
              <c:dLblPos val="outEnd"/>
              <c:showVal val="1"/>
            </c:dLbl>
            <c:dLbl>
              <c:idx val="7"/>
              <c:layout>
                <c:manualLayout>
                  <c:x val="0.31808063618608834"/>
                  <c:y val="6.6130737036249124E-2"/>
                </c:manualLayout>
              </c:layout>
              <c:dLblPos val="outEnd"/>
              <c:showVal val="1"/>
            </c:dLbl>
            <c:dLbl>
              <c:idx val="8"/>
              <c:layout>
                <c:manualLayout>
                  <c:x val="0.39587181290164369"/>
                  <c:y val="0.15356848974959519"/>
                </c:manualLayout>
              </c:layout>
              <c:dLblPos val="outEnd"/>
              <c:showVal val="1"/>
            </c:dLbl>
            <c:dLbl>
              <c:idx val="9"/>
              <c:layout>
                <c:manualLayout>
                  <c:x val="0.37152485456044804"/>
                  <c:y val="0.13200326310562521"/>
                </c:manualLayout>
              </c:layout>
              <c:dLblPos val="outEnd"/>
              <c:showVal val="1"/>
            </c:dLbl>
            <c:dLbl>
              <c:idx val="10"/>
              <c:layout>
                <c:manualLayout>
                  <c:x val="0.37093114226442508"/>
                  <c:y val="-0.62918351422288565"/>
                </c:manualLayout>
              </c:layout>
              <c:dLblPos val="outEnd"/>
              <c:showVal val="1"/>
            </c:dLbl>
            <c:dLbl>
              <c:idx val="11"/>
              <c:layout>
                <c:manualLayout>
                  <c:x val="0.40596692497367104"/>
                  <c:y val="-0.65090161027170124"/>
                </c:manualLayout>
              </c:layout>
              <c:dLblPos val="outEnd"/>
              <c:showVal val="1"/>
            </c:dLbl>
            <c:dLbl>
              <c:idx val="12"/>
              <c:layout>
                <c:manualLayout>
                  <c:x val="-0.19795315211975401"/>
                  <c:y val="-0.40659147336312701"/>
                </c:manualLayout>
              </c:layout>
              <c:dLblPos val="outEnd"/>
              <c:showVal val="1"/>
            </c:dLbl>
            <c:dLbl>
              <c:idx val="13"/>
              <c:layout>
                <c:manualLayout>
                  <c:x val="-0.205672763416824"/>
                  <c:y val="-0.37781300986026062"/>
                </c:manualLayout>
              </c:layout>
              <c:dLblPos val="outEnd"/>
              <c:showVal val="1"/>
            </c:dLbl>
            <c:dLbl>
              <c:idx val="14"/>
              <c:layout>
                <c:manualLayout>
                  <c:x val="-0.22764442209100241"/>
                  <c:y val="-0.43189224657728631"/>
                </c:manualLayout>
              </c:layout>
              <c:dLblPos val="outEnd"/>
              <c:showVal val="1"/>
            </c:dLbl>
            <c:dLbl>
              <c:idx val="15"/>
              <c:layout>
                <c:manualLayout>
                  <c:x val="-0.21161103671790096"/>
                  <c:y val="-0.42350322763708631"/>
                </c:manualLayout>
              </c:layout>
              <c:dLblPos val="outEnd"/>
              <c:showVal val="1"/>
            </c:dLbl>
            <c:dLbl>
              <c:idx val="16"/>
              <c:layout>
                <c:manualLayout>
                  <c:x val="-0.25971099172927176"/>
                  <c:y val="-0.38247002908420863"/>
                </c:manualLayout>
              </c:layout>
              <c:dLblPos val="outEnd"/>
              <c:showVal val="1"/>
            </c:dLbl>
            <c:dLbl>
              <c:idx val="17"/>
              <c:layout>
                <c:manualLayout>
                  <c:x val="-0.23892700702213096"/>
                  <c:y val="-0.41010817904518732"/>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INDICADORES'!$C$44:$AL$44</c:f>
              <c:strCache>
                <c:ptCount val="5"/>
                <c:pt idx="0">
                  <c:v>DIC 2010</c:v>
                </c:pt>
                <c:pt idx="1">
                  <c:v>DIC 2011</c:v>
                </c:pt>
                <c:pt idx="2">
                  <c:v>DIC 2012</c:v>
                </c:pt>
                <c:pt idx="3">
                  <c:v>DIC 2013</c:v>
                </c:pt>
                <c:pt idx="4">
                  <c:v>DIC 2014</c:v>
                </c:pt>
              </c:strCache>
            </c:strRef>
          </c:cat>
          <c:val>
            <c:numRef>
              <c:f>'DATOS CALCULO INDICADORES'!$C$45:$AL$45</c:f>
              <c:numCache>
                <c:formatCode>0.00%</c:formatCode>
                <c:ptCount val="5"/>
                <c:pt idx="0">
                  <c:v>0.36644753755187531</c:v>
                </c:pt>
                <c:pt idx="1">
                  <c:v>0.40742109542464533</c:v>
                </c:pt>
                <c:pt idx="2">
                  <c:v>0.40143325640714173</c:v>
                </c:pt>
                <c:pt idx="3">
                  <c:v>0.5078697125368925</c:v>
                </c:pt>
                <c:pt idx="4">
                  <c:v>0.41527236732869516</c:v>
                </c:pt>
              </c:numCache>
            </c:numRef>
          </c:val>
        </c:ser>
        <c:gapWidth val="50"/>
        <c:axId val="165990400"/>
        <c:axId val="165991936"/>
      </c:barChart>
      <c:lineChart>
        <c:grouping val="standard"/>
        <c:ser>
          <c:idx val="1"/>
          <c:order val="1"/>
          <c:tx>
            <c:strRef>
              <c:f>'DATOS CALCULO INDICADORES'!$B$46</c:f>
              <c:strCache>
                <c:ptCount val="1"/>
                <c:pt idx="0">
                  <c:v>EXCELENTE</c:v>
                </c:pt>
              </c:strCache>
            </c:strRef>
          </c:tx>
          <c:spPr>
            <a:ln w="25400">
              <a:solidFill>
                <a:srgbClr val="008000"/>
              </a:solidFill>
              <a:prstDash val="solid"/>
            </a:ln>
          </c:spPr>
          <c:marker>
            <c:symbol val="none"/>
          </c:marker>
          <c:cat>
            <c:strRef>
              <c:f>'DATOS CALCULO INDICADORES'!$C$44:$AL$44</c:f>
              <c:strCache>
                <c:ptCount val="5"/>
                <c:pt idx="0">
                  <c:v>DIC 2010</c:v>
                </c:pt>
                <c:pt idx="1">
                  <c:v>DIC 2011</c:v>
                </c:pt>
                <c:pt idx="2">
                  <c:v>DIC 2012</c:v>
                </c:pt>
                <c:pt idx="3">
                  <c:v>DIC 2013</c:v>
                </c:pt>
                <c:pt idx="4">
                  <c:v>DIC 2014</c:v>
                </c:pt>
              </c:strCache>
            </c:strRef>
          </c:cat>
          <c:val>
            <c:numRef>
              <c:f>'DATOS CALCULO INDICADORES'!$C$46:$AL$46</c:f>
              <c:numCache>
                <c:formatCode>0.00%</c:formatCode>
                <c:ptCount val="5"/>
                <c:pt idx="0">
                  <c:v>1</c:v>
                </c:pt>
                <c:pt idx="1">
                  <c:v>1</c:v>
                </c:pt>
                <c:pt idx="2">
                  <c:v>1</c:v>
                </c:pt>
                <c:pt idx="3">
                  <c:v>1</c:v>
                </c:pt>
                <c:pt idx="4">
                  <c:v>1</c:v>
                </c:pt>
              </c:numCache>
            </c:numRef>
          </c:val>
        </c:ser>
        <c:ser>
          <c:idx val="2"/>
          <c:order val="2"/>
          <c:tx>
            <c:strRef>
              <c:f>'DATOS CALCULO INDICADORES'!$B$47</c:f>
              <c:strCache>
                <c:ptCount val="1"/>
                <c:pt idx="0">
                  <c:v>REGULAR</c:v>
                </c:pt>
              </c:strCache>
            </c:strRef>
          </c:tx>
          <c:spPr>
            <a:ln w="25400">
              <a:solidFill>
                <a:srgbClr val="3366FF"/>
              </a:solidFill>
              <a:prstDash val="solid"/>
            </a:ln>
          </c:spPr>
          <c:marker>
            <c:symbol val="none"/>
          </c:marker>
          <c:cat>
            <c:strRef>
              <c:f>'DATOS CALCULO INDICADORES'!$C$44:$AL$44</c:f>
              <c:strCache>
                <c:ptCount val="5"/>
                <c:pt idx="0">
                  <c:v>DIC 2010</c:v>
                </c:pt>
                <c:pt idx="1">
                  <c:v>DIC 2011</c:v>
                </c:pt>
                <c:pt idx="2">
                  <c:v>DIC 2012</c:v>
                </c:pt>
                <c:pt idx="3">
                  <c:v>DIC 2013</c:v>
                </c:pt>
                <c:pt idx="4">
                  <c:v>DIC 2014</c:v>
                </c:pt>
              </c:strCache>
            </c:strRef>
          </c:cat>
          <c:val>
            <c:numRef>
              <c:f>'DATOS CALCULO INDICADORES'!$C$47:$AL$47</c:f>
              <c:numCache>
                <c:formatCode>0.00%</c:formatCode>
                <c:ptCount val="5"/>
                <c:pt idx="0">
                  <c:v>0.8</c:v>
                </c:pt>
                <c:pt idx="1">
                  <c:v>0.8</c:v>
                </c:pt>
                <c:pt idx="2">
                  <c:v>0.8</c:v>
                </c:pt>
                <c:pt idx="3">
                  <c:v>0.8</c:v>
                </c:pt>
                <c:pt idx="4">
                  <c:v>0.8</c:v>
                </c:pt>
              </c:numCache>
            </c:numRef>
          </c:val>
        </c:ser>
        <c:ser>
          <c:idx val="3"/>
          <c:order val="3"/>
          <c:tx>
            <c:strRef>
              <c:f>'DATOS CALCULO INDICADORES'!$B$48</c:f>
              <c:strCache>
                <c:ptCount val="1"/>
                <c:pt idx="0">
                  <c:v>DEFICIENTE</c:v>
                </c:pt>
              </c:strCache>
            </c:strRef>
          </c:tx>
          <c:spPr>
            <a:ln w="25400">
              <a:solidFill>
                <a:srgbClr val="FF0000"/>
              </a:solidFill>
              <a:prstDash val="solid"/>
            </a:ln>
          </c:spPr>
          <c:marker>
            <c:symbol val="none"/>
          </c:marker>
          <c:cat>
            <c:strRef>
              <c:f>'DATOS CALCULO INDICADORES'!$C$44:$AL$44</c:f>
              <c:strCache>
                <c:ptCount val="5"/>
                <c:pt idx="0">
                  <c:v>DIC 2010</c:v>
                </c:pt>
                <c:pt idx="1">
                  <c:v>DIC 2011</c:v>
                </c:pt>
                <c:pt idx="2">
                  <c:v>DIC 2012</c:v>
                </c:pt>
                <c:pt idx="3">
                  <c:v>DIC 2013</c:v>
                </c:pt>
                <c:pt idx="4">
                  <c:v>DIC 2014</c:v>
                </c:pt>
              </c:strCache>
            </c:strRef>
          </c:cat>
          <c:val>
            <c:numRef>
              <c:f>'DATOS CALCULO INDICADORES'!$C$48:$AL$48</c:f>
              <c:numCache>
                <c:formatCode>0.00%</c:formatCode>
                <c:ptCount val="5"/>
                <c:pt idx="0">
                  <c:v>0.6500000000000028</c:v>
                </c:pt>
                <c:pt idx="1">
                  <c:v>0.6500000000000028</c:v>
                </c:pt>
                <c:pt idx="2">
                  <c:v>0.6500000000000028</c:v>
                </c:pt>
                <c:pt idx="3">
                  <c:v>0.6500000000000028</c:v>
                </c:pt>
                <c:pt idx="4">
                  <c:v>0.6500000000000028</c:v>
                </c:pt>
              </c:numCache>
            </c:numRef>
          </c:val>
        </c:ser>
        <c:marker val="1"/>
        <c:axId val="165990400"/>
        <c:axId val="165991936"/>
      </c:lineChart>
      <c:catAx>
        <c:axId val="165990400"/>
        <c:scaling>
          <c:orientation val="minMax"/>
        </c:scaling>
        <c:axPos val="b"/>
        <c:numFmt formatCode="@"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Arial"/>
                <a:ea typeface="Arial"/>
                <a:cs typeface="Arial"/>
              </a:defRPr>
            </a:pPr>
            <a:endParaRPr lang="es-ES"/>
          </a:p>
        </c:txPr>
        <c:crossAx val="165991936"/>
        <c:crosses val="autoZero"/>
        <c:auto val="1"/>
        <c:lblAlgn val="ctr"/>
        <c:lblOffset val="100"/>
        <c:tickLblSkip val="1"/>
        <c:tickMarkSkip val="1"/>
      </c:catAx>
      <c:valAx>
        <c:axId val="165991936"/>
        <c:scaling>
          <c:orientation val="minMax"/>
          <c:max val="1.6"/>
          <c:min val="0"/>
        </c:scaling>
        <c:axPos val="l"/>
        <c:numFmt formatCode="0%" sourceLinked="0"/>
        <c:tickLblPos val="nextTo"/>
        <c:spPr>
          <a:ln w="3175">
            <a:solidFill>
              <a:srgbClr val="000000"/>
            </a:solidFill>
            <a:prstDash val="solid"/>
          </a:ln>
        </c:spPr>
        <c:txPr>
          <a:bodyPr rot="0" vert="horz"/>
          <a:lstStyle/>
          <a:p>
            <a:pPr>
              <a:defRPr lang="es-ES" sz="900" b="0" i="0" u="none" strike="noStrike" baseline="0">
                <a:solidFill>
                  <a:srgbClr val="000000"/>
                </a:solidFill>
                <a:latin typeface="Arial"/>
                <a:ea typeface="Arial"/>
                <a:cs typeface="Arial"/>
              </a:defRPr>
            </a:pPr>
            <a:endParaRPr lang="es-ES"/>
          </a:p>
        </c:txPr>
        <c:crossAx val="165990400"/>
        <c:crosses val="autoZero"/>
        <c:crossBetween val="between"/>
        <c:majorUnit val="0.2"/>
        <c:minorUnit val="0.1"/>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19714987236243744"/>
          <c:y val="3.0405405405405747E-2"/>
          <c:w val="0.79097478911676256"/>
          <c:h val="0.18243243243243698"/>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0591145742507102"/>
          <c:y val="0.201342611784638"/>
          <c:w val="0.87684834519361365"/>
          <c:h val="0.69127630046059163"/>
        </c:manualLayout>
      </c:layout>
      <c:barChart>
        <c:barDir val="col"/>
        <c:grouping val="clustered"/>
        <c:ser>
          <c:idx val="0"/>
          <c:order val="0"/>
          <c:tx>
            <c:strRef>
              <c:f>'DATOS CALCULO INDICADORES'!$B$60</c:f>
              <c:strCache>
                <c:ptCount val="1"/>
                <c:pt idx="0">
                  <c:v>Depositos / Cartera neta</c:v>
                </c:pt>
              </c:strCache>
            </c:strRef>
          </c:tx>
          <c:spPr>
            <a:solidFill>
              <a:srgbClr val="CCFFCC"/>
            </a:solidFill>
            <a:ln w="12700">
              <a:solidFill>
                <a:srgbClr val="000000"/>
              </a:solidFill>
              <a:prstDash val="solid"/>
            </a:ln>
          </c:spPr>
          <c:dLbls>
            <c:dLbl>
              <c:idx val="0"/>
              <c:layout>
                <c:manualLayout>
                  <c:x val="1.8181244884033904E-2"/>
                  <c:y val="-8.1724591988461062E-3"/>
                </c:manualLayout>
              </c:layout>
              <c:dLblPos val="outEnd"/>
              <c:showVal val="1"/>
            </c:dLbl>
            <c:dLbl>
              <c:idx val="1"/>
              <c:layout>
                <c:manualLayout>
                  <c:x val="-6.7941291096421958E-3"/>
                  <c:y val="2.1145888161684001E-2"/>
                </c:manualLayout>
              </c:layout>
              <c:dLblPos val="outEnd"/>
              <c:showVal val="1"/>
            </c:dLbl>
            <c:dLbl>
              <c:idx val="2"/>
              <c:layout>
                <c:manualLayout>
                  <c:x val="4.6154370059821514E-3"/>
                  <c:y val="5.1564790052830937E-3"/>
                </c:manualLayout>
              </c:layout>
              <c:dLblPos val="outEnd"/>
              <c:showVal val="1"/>
            </c:dLbl>
            <c:dLbl>
              <c:idx val="3"/>
              <c:layout>
                <c:manualLayout>
                  <c:x val="5.4430726192864114E-3"/>
                  <c:y val="-1.3804604606733575E-2"/>
                </c:manualLayout>
              </c:layout>
              <c:dLblPos val="outEnd"/>
              <c:showVal val="1"/>
            </c:dLbl>
            <c:dLbl>
              <c:idx val="4"/>
              <c:layout>
                <c:manualLayout>
                  <c:x val="6.2707082325906627E-3"/>
                  <c:y val="1.0429925158747501E-2"/>
                </c:manualLayout>
              </c:layout>
              <c:dLblPos val="outEnd"/>
              <c:showVal val="1"/>
            </c:dLbl>
            <c:dLbl>
              <c:idx val="5"/>
              <c:layout>
                <c:manualLayout>
                  <c:x val="1.8734727124626805E-2"/>
                  <c:y val="-1.6681991932216509E-2"/>
                </c:manualLayout>
              </c:layout>
              <c:dLblPos val="outEnd"/>
              <c:showVal val="1"/>
            </c:dLbl>
            <c:dLbl>
              <c:idx val="6"/>
              <c:layout>
                <c:manualLayout>
                  <c:x val="2.5388205784622072E-3"/>
                  <c:y val="6.1086156176786621E-3"/>
                </c:manualLayout>
              </c:layout>
              <c:dLblPos val="outEnd"/>
              <c:showVal val="1"/>
            </c:dLbl>
            <c:dLbl>
              <c:idx val="7"/>
              <c:dLblPos val="outEnd"/>
              <c:showVal val="1"/>
            </c:dLbl>
            <c:dLbl>
              <c:idx val="8"/>
              <c:layout>
                <c:manualLayout>
                  <c:x val="0.39497610321619175"/>
                  <c:y val="-0.37936579650227475"/>
                </c:manualLayout>
              </c:layout>
              <c:dLblPos val="outEnd"/>
              <c:showVal val="1"/>
            </c:dLbl>
            <c:dLbl>
              <c:idx val="9"/>
              <c:layout>
                <c:manualLayout>
                  <c:x val="0.35359679583358938"/>
                  <c:y val="0.28972349967250338"/>
                </c:manualLayout>
              </c:layout>
              <c:dLblPos val="outEnd"/>
              <c:showVal val="1"/>
            </c:dLbl>
            <c:dLbl>
              <c:idx val="10"/>
              <c:layout>
                <c:manualLayout>
                  <c:x val="0.35655225855218775"/>
                  <c:y val="-0.15895290609166196"/>
                </c:manualLayout>
              </c:layout>
              <c:dLblPos val="outEnd"/>
              <c:showVal val="1"/>
            </c:dLbl>
            <c:dLbl>
              <c:idx val="11"/>
              <c:dLblPos val="outEnd"/>
              <c:showVal val="1"/>
            </c:dLbl>
            <c:dLbl>
              <c:idx val="12"/>
              <c:layout>
                <c:manualLayout>
                  <c:x val="-0.17940887170633982"/>
                  <c:y val="-3.907264578902564E-2"/>
                </c:manualLayout>
              </c:layout>
              <c:dLblPos val="outEnd"/>
              <c:showVal val="1"/>
            </c:dLbl>
            <c:dLbl>
              <c:idx val="13"/>
              <c:layout>
                <c:manualLayout>
                  <c:x val="-0.18630537899705404"/>
                  <c:y val="8.6613985470297625E-2"/>
                </c:manualLayout>
              </c:layout>
              <c:dLblPos val="outEnd"/>
              <c:showVal val="1"/>
            </c:dLbl>
            <c:dLbl>
              <c:idx val="14"/>
              <c:layout>
                <c:manualLayout>
                  <c:x val="-0.20798022918429382"/>
                  <c:y val="-5.0326107093187104E-3"/>
                </c:manualLayout>
              </c:layout>
              <c:dLblPos val="outEnd"/>
              <c:showVal val="1"/>
            </c:dLbl>
            <c:dLbl>
              <c:idx val="15"/>
              <c:layout>
                <c:manualLayout>
                  <c:x val="-0.19024642356917282"/>
                  <c:y val="1.2820107084197351E-2"/>
                </c:manualLayout>
              </c:layout>
              <c:dLblPos val="outEnd"/>
              <c:showVal val="1"/>
            </c:dLbl>
            <c:dLbl>
              <c:idx val="16"/>
              <c:layout>
                <c:manualLayout>
                  <c:x val="-0.23901490240003273"/>
                  <c:y val="0.132127211212164"/>
                </c:manualLayout>
              </c:layout>
              <c:dLblPos val="outEnd"/>
              <c:showVal val="1"/>
            </c:dLbl>
            <c:dLbl>
              <c:idx val="17"/>
              <c:layout>
                <c:manualLayout>
                  <c:x val="-0.21635472389770424"/>
                  <c:y val="-0.10086343936827102"/>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INDICADORES'!$C$59:$AL$59</c:f>
              <c:strCache>
                <c:ptCount val="5"/>
                <c:pt idx="0">
                  <c:v>DIC 2010</c:v>
                </c:pt>
                <c:pt idx="1">
                  <c:v>DIC 2011</c:v>
                </c:pt>
                <c:pt idx="2">
                  <c:v>DIC 2012</c:v>
                </c:pt>
                <c:pt idx="3">
                  <c:v>DIC 2013</c:v>
                </c:pt>
                <c:pt idx="4">
                  <c:v>DIC 2014</c:v>
                </c:pt>
              </c:strCache>
            </c:strRef>
          </c:cat>
          <c:val>
            <c:numRef>
              <c:f>'DATOS CALCULO INDICADORES'!$C$60:$AL$60</c:f>
              <c:numCache>
                <c:formatCode>0.00%</c:formatCode>
                <c:ptCount val="5"/>
                <c:pt idx="0">
                  <c:v>2.7289035878933778</c:v>
                </c:pt>
                <c:pt idx="1">
                  <c:v>2.4544629898403376</c:v>
                </c:pt>
                <c:pt idx="2">
                  <c:v>2.491074130105889</c:v>
                </c:pt>
                <c:pt idx="3">
                  <c:v>1.9690089314537915</c:v>
                </c:pt>
                <c:pt idx="4">
                  <c:v>2.4080581292529977</c:v>
                </c:pt>
              </c:numCache>
            </c:numRef>
          </c:val>
        </c:ser>
        <c:gapWidth val="50"/>
        <c:axId val="165893248"/>
        <c:axId val="165894784"/>
      </c:barChart>
      <c:lineChart>
        <c:grouping val="standard"/>
        <c:ser>
          <c:idx val="1"/>
          <c:order val="1"/>
          <c:tx>
            <c:strRef>
              <c:f>'DATOS CALCULO INDICADORES'!$B$61</c:f>
              <c:strCache>
                <c:ptCount val="1"/>
                <c:pt idx="0">
                  <c:v>EXCELENTE</c:v>
                </c:pt>
              </c:strCache>
            </c:strRef>
          </c:tx>
          <c:spPr>
            <a:ln w="25400">
              <a:solidFill>
                <a:srgbClr val="008000"/>
              </a:solidFill>
              <a:prstDash val="solid"/>
            </a:ln>
          </c:spPr>
          <c:marker>
            <c:symbol val="none"/>
          </c:marker>
          <c:cat>
            <c:strRef>
              <c:f>'DATOS CALCULO INDICADORES'!$C$59:$AL$59</c:f>
              <c:strCache>
                <c:ptCount val="5"/>
                <c:pt idx="0">
                  <c:v>DIC 2010</c:v>
                </c:pt>
                <c:pt idx="1">
                  <c:v>DIC 2011</c:v>
                </c:pt>
                <c:pt idx="2">
                  <c:v>DIC 2012</c:v>
                </c:pt>
                <c:pt idx="3">
                  <c:v>DIC 2013</c:v>
                </c:pt>
                <c:pt idx="4">
                  <c:v>DIC 2014</c:v>
                </c:pt>
              </c:strCache>
            </c:strRef>
          </c:cat>
          <c:val>
            <c:numRef>
              <c:f>'DATOS CALCULO INDICADORES'!$C$61:$AL$61</c:f>
              <c:numCache>
                <c:formatCode>0.00%</c:formatCode>
                <c:ptCount val="5"/>
                <c:pt idx="0">
                  <c:v>1</c:v>
                </c:pt>
                <c:pt idx="1">
                  <c:v>1</c:v>
                </c:pt>
                <c:pt idx="2">
                  <c:v>1</c:v>
                </c:pt>
                <c:pt idx="3">
                  <c:v>1</c:v>
                </c:pt>
                <c:pt idx="4">
                  <c:v>1</c:v>
                </c:pt>
              </c:numCache>
            </c:numRef>
          </c:val>
        </c:ser>
        <c:ser>
          <c:idx val="2"/>
          <c:order val="2"/>
          <c:tx>
            <c:strRef>
              <c:f>'DATOS CALCULO INDICADORES'!$B$62</c:f>
              <c:strCache>
                <c:ptCount val="1"/>
                <c:pt idx="0">
                  <c:v>REGULAR</c:v>
                </c:pt>
              </c:strCache>
            </c:strRef>
          </c:tx>
          <c:spPr>
            <a:ln w="25400">
              <a:solidFill>
                <a:srgbClr val="3366FF"/>
              </a:solidFill>
              <a:prstDash val="solid"/>
            </a:ln>
          </c:spPr>
          <c:marker>
            <c:symbol val="none"/>
          </c:marker>
          <c:cat>
            <c:strRef>
              <c:f>'DATOS CALCULO INDICADORES'!$C$59:$AL$59</c:f>
              <c:strCache>
                <c:ptCount val="5"/>
                <c:pt idx="0">
                  <c:v>DIC 2010</c:v>
                </c:pt>
                <c:pt idx="1">
                  <c:v>DIC 2011</c:v>
                </c:pt>
                <c:pt idx="2">
                  <c:v>DIC 2012</c:v>
                </c:pt>
                <c:pt idx="3">
                  <c:v>DIC 2013</c:v>
                </c:pt>
                <c:pt idx="4">
                  <c:v>DIC 2014</c:v>
                </c:pt>
              </c:strCache>
            </c:strRef>
          </c:cat>
          <c:val>
            <c:numRef>
              <c:f>'DATOS CALCULO INDICADORES'!$C$62:$AL$62</c:f>
              <c:numCache>
                <c:formatCode>0.00%</c:formatCode>
                <c:ptCount val="5"/>
                <c:pt idx="0">
                  <c:v>0.8</c:v>
                </c:pt>
                <c:pt idx="1">
                  <c:v>0.8</c:v>
                </c:pt>
                <c:pt idx="2">
                  <c:v>0.8</c:v>
                </c:pt>
                <c:pt idx="3">
                  <c:v>0.8</c:v>
                </c:pt>
                <c:pt idx="4">
                  <c:v>0.8</c:v>
                </c:pt>
              </c:numCache>
            </c:numRef>
          </c:val>
        </c:ser>
        <c:ser>
          <c:idx val="3"/>
          <c:order val="3"/>
          <c:tx>
            <c:strRef>
              <c:f>'DATOS CALCULO INDICADORES'!$B$63</c:f>
              <c:strCache>
                <c:ptCount val="1"/>
                <c:pt idx="0">
                  <c:v>DEFICIENTE</c:v>
                </c:pt>
              </c:strCache>
            </c:strRef>
          </c:tx>
          <c:spPr>
            <a:ln w="25400">
              <a:solidFill>
                <a:srgbClr val="FF0000"/>
              </a:solidFill>
              <a:prstDash val="solid"/>
            </a:ln>
          </c:spPr>
          <c:marker>
            <c:symbol val="none"/>
          </c:marker>
          <c:cat>
            <c:strRef>
              <c:f>'DATOS CALCULO INDICADORES'!$C$59:$AL$59</c:f>
              <c:strCache>
                <c:ptCount val="5"/>
                <c:pt idx="0">
                  <c:v>DIC 2010</c:v>
                </c:pt>
                <c:pt idx="1">
                  <c:v>DIC 2011</c:v>
                </c:pt>
                <c:pt idx="2">
                  <c:v>DIC 2012</c:v>
                </c:pt>
                <c:pt idx="3">
                  <c:v>DIC 2013</c:v>
                </c:pt>
                <c:pt idx="4">
                  <c:v>DIC 2014</c:v>
                </c:pt>
              </c:strCache>
            </c:strRef>
          </c:cat>
          <c:val>
            <c:numRef>
              <c:f>'DATOS CALCULO INDICADORES'!$C$63:$AL$63</c:f>
              <c:numCache>
                <c:formatCode>0.00%</c:formatCode>
                <c:ptCount val="5"/>
                <c:pt idx="0">
                  <c:v>0.60000000000000064</c:v>
                </c:pt>
                <c:pt idx="1">
                  <c:v>0.60000000000000064</c:v>
                </c:pt>
                <c:pt idx="2">
                  <c:v>0.60000000000000064</c:v>
                </c:pt>
                <c:pt idx="3">
                  <c:v>0.60000000000000064</c:v>
                </c:pt>
                <c:pt idx="4">
                  <c:v>0.60000000000000064</c:v>
                </c:pt>
              </c:numCache>
            </c:numRef>
          </c:val>
        </c:ser>
        <c:marker val="1"/>
        <c:axId val="165893248"/>
        <c:axId val="165894784"/>
      </c:lineChart>
      <c:catAx>
        <c:axId val="165893248"/>
        <c:scaling>
          <c:orientation val="minMax"/>
        </c:scaling>
        <c:axPos val="b"/>
        <c:numFmt formatCode="@" sourceLinked="1"/>
        <c:tickLblPos val="nextTo"/>
        <c:spPr>
          <a:ln w="3175">
            <a:solidFill>
              <a:srgbClr val="000000"/>
            </a:solidFill>
            <a:prstDash val="solid"/>
          </a:ln>
        </c:spPr>
        <c:txPr>
          <a:bodyPr rot="0" vert="horz"/>
          <a:lstStyle/>
          <a:p>
            <a:pPr>
              <a:defRPr lang="es-ES" sz="850" b="1" i="0" u="none" strike="noStrike" baseline="0">
                <a:solidFill>
                  <a:srgbClr val="000000"/>
                </a:solidFill>
                <a:latin typeface="Arial"/>
                <a:ea typeface="Arial"/>
                <a:cs typeface="Arial"/>
              </a:defRPr>
            </a:pPr>
            <a:endParaRPr lang="es-ES"/>
          </a:p>
        </c:txPr>
        <c:crossAx val="165894784"/>
        <c:crosses val="autoZero"/>
        <c:auto val="1"/>
        <c:lblAlgn val="ctr"/>
        <c:lblOffset val="100"/>
        <c:tickLblSkip val="1"/>
        <c:tickMarkSkip val="1"/>
      </c:catAx>
      <c:valAx>
        <c:axId val="165894784"/>
        <c:scaling>
          <c:orientation val="minMax"/>
          <c:max val="4"/>
          <c:min val="0"/>
        </c:scaling>
        <c:axPos val="l"/>
        <c:numFmt formatCode="0%" sourceLinked="0"/>
        <c:tickLblPos val="nextTo"/>
        <c:spPr>
          <a:ln w="3175">
            <a:solidFill>
              <a:srgbClr val="000000"/>
            </a:solidFill>
            <a:prstDash val="solid"/>
          </a:ln>
        </c:spPr>
        <c:txPr>
          <a:bodyPr rot="0" vert="horz"/>
          <a:lstStyle/>
          <a:p>
            <a:pPr>
              <a:defRPr lang="es-ES" sz="850" b="0" i="0" u="none" strike="noStrike" baseline="0">
                <a:solidFill>
                  <a:srgbClr val="000000"/>
                </a:solidFill>
                <a:latin typeface="Arial"/>
                <a:ea typeface="Arial"/>
                <a:cs typeface="Arial"/>
              </a:defRPr>
            </a:pPr>
            <a:endParaRPr lang="es-ES"/>
          </a:p>
        </c:txPr>
        <c:crossAx val="165893248"/>
        <c:crosses val="autoZero"/>
        <c:crossBetween val="between"/>
        <c:majorUnit val="0.5"/>
        <c:minorUnit val="0.1"/>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8.8734339242079116E-2"/>
          <c:y val="2.1334178865226046E-2"/>
          <c:w val="0.82019803075694497"/>
          <c:h val="0.13848520454187202"/>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CO"/>
            </a:pPr>
            <a:r>
              <a:rPr lang="en-US"/>
              <a:t>CAPACIDAD DE SERVICIO</a:t>
            </a:r>
          </a:p>
        </c:rich>
      </c:tx>
    </c:title>
    <c:view3D>
      <c:rAngAx val="1"/>
    </c:view3D>
    <c:plotArea>
      <c:layout/>
      <c:bar3DChart>
        <c:barDir val="col"/>
        <c:grouping val="clustered"/>
        <c:ser>
          <c:idx val="0"/>
          <c:order val="0"/>
          <c:tx>
            <c:strRef>
              <c:f>Hoja1!$B$14</c:f>
              <c:strCache>
                <c:ptCount val="1"/>
                <c:pt idx="0">
                  <c:v>COMO CALIFICA EL SERVICIO QUE LOS FUNCIONARIOS OFRECEN AL CLIENTE</c:v>
                </c:pt>
              </c:strCache>
            </c:strRef>
          </c:tx>
          <c:cat>
            <c:strRef>
              <c:f>Hoja1!$C$13:$G$13</c:f>
              <c:strCache>
                <c:ptCount val="5"/>
                <c:pt idx="0">
                  <c:v>DEFICIENTE</c:v>
                </c:pt>
                <c:pt idx="1">
                  <c:v>REGULAR</c:v>
                </c:pt>
                <c:pt idx="2">
                  <c:v>BUENO</c:v>
                </c:pt>
                <c:pt idx="3">
                  <c:v>EXCELENTE</c:v>
                </c:pt>
                <c:pt idx="4">
                  <c:v>NO RESPONDE</c:v>
                </c:pt>
              </c:strCache>
            </c:strRef>
          </c:cat>
          <c:val>
            <c:numRef>
              <c:f>Hoja1!$C$14:$G$14</c:f>
              <c:numCache>
                <c:formatCode>General</c:formatCode>
                <c:ptCount val="5"/>
                <c:pt idx="0">
                  <c:v>0</c:v>
                </c:pt>
                <c:pt idx="1">
                  <c:v>0</c:v>
                </c:pt>
                <c:pt idx="2">
                  <c:v>9</c:v>
                </c:pt>
                <c:pt idx="3">
                  <c:v>1</c:v>
                </c:pt>
                <c:pt idx="4">
                  <c:v>0</c:v>
                </c:pt>
              </c:numCache>
            </c:numRef>
          </c:val>
        </c:ser>
        <c:ser>
          <c:idx val="1"/>
          <c:order val="1"/>
          <c:tx>
            <c:strRef>
              <c:f>Hoja1!$B$15</c:f>
              <c:strCache>
                <c:ptCount val="1"/>
                <c:pt idx="0">
                  <c:v>LOS FUNCIONARIOS RESPONDEN OPORTUNAMENTE LAS PREGUNTAS DE LOS CLIENTES</c:v>
                </c:pt>
              </c:strCache>
            </c:strRef>
          </c:tx>
          <c:dLbls>
            <c:txPr>
              <a:bodyPr/>
              <a:lstStyle/>
              <a:p>
                <a:pPr>
                  <a:defRPr lang="es-CO"/>
                </a:pPr>
                <a:endParaRPr lang="es-ES"/>
              </a:p>
            </c:txPr>
            <c:showVal val="1"/>
          </c:dLbls>
          <c:cat>
            <c:strRef>
              <c:f>Hoja1!$C$13:$G$13</c:f>
              <c:strCache>
                <c:ptCount val="5"/>
                <c:pt idx="0">
                  <c:v>DEFICIENTE</c:v>
                </c:pt>
                <c:pt idx="1">
                  <c:v>REGULAR</c:v>
                </c:pt>
                <c:pt idx="2">
                  <c:v>BUENO</c:v>
                </c:pt>
                <c:pt idx="3">
                  <c:v>EXCELENTE</c:v>
                </c:pt>
                <c:pt idx="4">
                  <c:v>NO RESPONDE</c:v>
                </c:pt>
              </c:strCache>
            </c:strRef>
          </c:cat>
          <c:val>
            <c:numRef>
              <c:f>Hoja1!$C$15:$G$15</c:f>
              <c:numCache>
                <c:formatCode>General</c:formatCode>
                <c:ptCount val="5"/>
                <c:pt idx="0">
                  <c:v>1</c:v>
                </c:pt>
                <c:pt idx="1">
                  <c:v>2</c:v>
                </c:pt>
                <c:pt idx="2">
                  <c:v>6</c:v>
                </c:pt>
                <c:pt idx="3">
                  <c:v>1</c:v>
                </c:pt>
                <c:pt idx="4">
                  <c:v>0</c:v>
                </c:pt>
              </c:numCache>
            </c:numRef>
          </c:val>
        </c:ser>
        <c:shape val="box"/>
        <c:axId val="133980544"/>
        <c:axId val="133982080"/>
        <c:axId val="0"/>
      </c:bar3DChart>
      <c:catAx>
        <c:axId val="133980544"/>
        <c:scaling>
          <c:orientation val="minMax"/>
        </c:scaling>
        <c:axPos val="b"/>
        <c:majorTickMark val="none"/>
        <c:tickLblPos val="nextTo"/>
        <c:txPr>
          <a:bodyPr/>
          <a:lstStyle/>
          <a:p>
            <a:pPr>
              <a:defRPr lang="es-CO"/>
            </a:pPr>
            <a:endParaRPr lang="es-ES"/>
          </a:p>
        </c:txPr>
        <c:crossAx val="133982080"/>
        <c:crosses val="autoZero"/>
        <c:auto val="1"/>
        <c:lblAlgn val="ctr"/>
        <c:lblOffset val="100"/>
      </c:catAx>
      <c:valAx>
        <c:axId val="133982080"/>
        <c:scaling>
          <c:orientation val="minMax"/>
        </c:scaling>
        <c:axPos val="l"/>
        <c:majorGridlines/>
        <c:numFmt formatCode="General" sourceLinked="1"/>
        <c:majorTickMark val="none"/>
        <c:tickLblPos val="nextTo"/>
        <c:txPr>
          <a:bodyPr/>
          <a:lstStyle/>
          <a:p>
            <a:pPr>
              <a:defRPr lang="es-CO"/>
            </a:pPr>
            <a:endParaRPr lang="es-ES"/>
          </a:p>
        </c:txPr>
        <c:crossAx val="133980544"/>
        <c:crosses val="autoZero"/>
        <c:crossBetween val="between"/>
      </c:valAx>
    </c:plotArea>
    <c:legend>
      <c:legendPos val="r"/>
      <c:layout>
        <c:manualLayout>
          <c:xMode val="edge"/>
          <c:yMode val="edge"/>
          <c:x val="0.65925567218020953"/>
          <c:y val="0.21373032463368058"/>
          <c:w val="0.32428148680380292"/>
          <c:h val="0.49498637735096801"/>
        </c:manualLayout>
      </c:layout>
      <c:txPr>
        <a:bodyPr/>
        <a:lstStyle/>
        <a:p>
          <a:pPr>
            <a:defRPr lang="es-CO"/>
          </a:pPr>
          <a:endParaRPr lang="es-ES"/>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13164099898171"/>
          <c:y val="0.14511041009463704"/>
          <c:w val="0.87067072778797105"/>
          <c:h val="0.74132492113564596"/>
        </c:manualLayout>
      </c:layout>
      <c:barChart>
        <c:barDir val="col"/>
        <c:grouping val="clustered"/>
        <c:ser>
          <c:idx val="0"/>
          <c:order val="0"/>
          <c:tx>
            <c:strRef>
              <c:f>'DATOS CALCULO INDICADORES'!$B$50</c:f>
              <c:strCache>
                <c:ptCount val="1"/>
                <c:pt idx="0">
                  <c:v>Cuentas de ahorro/Pasivo Total</c:v>
                </c:pt>
              </c:strCache>
            </c:strRef>
          </c:tx>
          <c:spPr>
            <a:solidFill>
              <a:srgbClr val="99CC00"/>
            </a:solidFill>
            <a:ln w="12700">
              <a:solidFill>
                <a:srgbClr val="000000"/>
              </a:solidFill>
              <a:prstDash val="solid"/>
            </a:ln>
          </c:spPr>
          <c:dLbls>
            <c:dLbl>
              <c:idx val="0"/>
              <c:layout>
                <c:manualLayout>
                  <c:x val="5.1856234700709913E-4"/>
                  <c:y val="-8.5088717222649879E-2"/>
                </c:manualLayout>
              </c:layout>
              <c:dLblPos val="outEnd"/>
              <c:showVal val="1"/>
            </c:dLbl>
            <c:dLbl>
              <c:idx val="1"/>
              <c:layout>
                <c:manualLayout>
                  <c:x val="-9.1812642631393208E-3"/>
                  <c:y val="-7.9799961913279704E-3"/>
                </c:manualLayout>
              </c:layout>
              <c:dLblPos val="outEnd"/>
              <c:showVal val="1"/>
            </c:dLbl>
            <c:dLbl>
              <c:idx val="2"/>
              <c:layout>
                <c:manualLayout>
                  <c:x val="6.5230948181405415E-3"/>
                  <c:y val="-2.114939102643721E-2"/>
                </c:manualLayout>
              </c:layout>
              <c:dLblPos val="outEnd"/>
              <c:showVal val="1"/>
            </c:dLbl>
            <c:dLbl>
              <c:idx val="3"/>
              <c:layout>
                <c:manualLayout>
                  <c:x val="6.0611539139673034E-3"/>
                  <c:y val="-4.5215562565720305E-2"/>
                </c:manualLayout>
              </c:layout>
              <c:dLblPos val="outEnd"/>
              <c:showVal val="1"/>
            </c:dLbl>
            <c:dLbl>
              <c:idx val="4"/>
              <c:layout>
                <c:manualLayout>
                  <c:x val="-8.2573512029241146E-3"/>
                  <c:y val="1.3840383516729264E-3"/>
                </c:manualLayout>
              </c:layout>
              <c:dLblPos val="outEnd"/>
              <c:showVal val="1"/>
            </c:dLbl>
            <c:dLbl>
              <c:idx val="5"/>
              <c:layout>
                <c:manualLayout>
                  <c:x val="1.2724506434386221E-2"/>
                  <c:y val="-1.0086357501842202E-2"/>
                </c:manualLayout>
              </c:layout>
              <c:dLblPos val="outEnd"/>
              <c:showVal val="1"/>
            </c:dLbl>
            <c:dLbl>
              <c:idx val="6"/>
              <c:layout>
                <c:manualLayout>
                  <c:x val="4.8706151915767024E-3"/>
                  <c:y val="-4.5309951398031564E-3"/>
                </c:manualLayout>
              </c:layout>
              <c:dLblPos val="outEnd"/>
              <c:showVal val="1"/>
            </c:dLbl>
            <c:dLbl>
              <c:idx val="7"/>
              <c:layout>
                <c:manualLayout>
                  <c:xMode val="edge"/>
                  <c:yMode val="edge"/>
                  <c:x val="0.6882224850950005"/>
                  <c:y val="0.36277602523659302"/>
                </c:manualLayout>
              </c:layout>
              <c:dLblPos val="outEnd"/>
              <c:showVal val="1"/>
            </c:dLbl>
            <c:dLbl>
              <c:idx val="8"/>
              <c:layout>
                <c:manualLayout>
                  <c:xMode val="edge"/>
                  <c:yMode val="edge"/>
                  <c:x val="0.78752975643421363"/>
                  <c:y val="0.38170347003154631"/>
                </c:manualLayout>
              </c:layout>
              <c:dLblPos val="outEnd"/>
              <c:showVal val="1"/>
            </c:dLbl>
            <c:dLbl>
              <c:idx val="9"/>
              <c:layout>
                <c:manualLayout>
                  <c:xMode val="edge"/>
                  <c:yMode val="edge"/>
                  <c:x val="0.93995487058277305"/>
                  <c:y val="0.76971608832808303"/>
                </c:manualLayout>
              </c:layout>
              <c:dLblPos val="outEnd"/>
              <c:showVal val="1"/>
            </c:dLbl>
            <c:dLbl>
              <c:idx val="10"/>
              <c:layout>
                <c:manualLayout>
                  <c:xMode val="edge"/>
                  <c:yMode val="edge"/>
                  <c:x val="0.86836125636148809"/>
                  <c:y val="1.577287066246081E-2"/>
                </c:manualLayout>
              </c:layout>
              <c:dLblPos val="outEnd"/>
              <c:showVal val="1"/>
            </c:dLbl>
            <c:dLbl>
              <c:idx val="11"/>
              <c:layout>
                <c:manualLayout>
                  <c:xMode val="edge"/>
                  <c:yMode val="edge"/>
                  <c:x val="0.94457381343575764"/>
                  <c:y val="1.577287066246081E-2"/>
                </c:manualLayout>
              </c:layout>
              <c:dLblPos val="outEnd"/>
              <c:showVal val="1"/>
            </c:dLbl>
            <c:dLbl>
              <c:idx val="12"/>
              <c:layout>
                <c:manualLayout>
                  <c:xMode val="edge"/>
                  <c:yMode val="edge"/>
                  <c:x val="0.39953855678333899"/>
                  <c:y val="0.25236593059936901"/>
                </c:manualLayout>
              </c:layout>
              <c:dLblPos val="outEnd"/>
              <c:showVal val="1"/>
            </c:dLbl>
            <c:dLbl>
              <c:idx val="13"/>
              <c:layout>
                <c:manualLayout>
                  <c:xMode val="edge"/>
                  <c:yMode val="edge"/>
                  <c:x val="0.43418062818073938"/>
                  <c:y val="0.29652996845426416"/>
                </c:manualLayout>
              </c:layout>
              <c:dLblPos val="outEnd"/>
              <c:showVal val="1"/>
            </c:dLbl>
            <c:dLbl>
              <c:idx val="14"/>
              <c:layout>
                <c:manualLayout>
                  <c:xMode val="edge"/>
                  <c:yMode val="edge"/>
                  <c:x val="0.45496587101918134"/>
                  <c:y val="0.23974763406940319"/>
                </c:manualLayout>
              </c:layout>
              <c:dLblPos val="outEnd"/>
              <c:showVal val="1"/>
            </c:dLbl>
            <c:dLbl>
              <c:idx val="15"/>
              <c:layout>
                <c:manualLayout>
                  <c:xMode val="edge"/>
                  <c:yMode val="edge"/>
                  <c:x val="0.51270265668151804"/>
                  <c:y val="0.2492113564668802"/>
                </c:manualLayout>
              </c:layout>
              <c:dLblPos val="outEnd"/>
              <c:showVal val="1"/>
            </c:dLbl>
            <c:dLbl>
              <c:idx val="16"/>
              <c:layout>
                <c:manualLayout>
                  <c:xMode val="edge"/>
                  <c:yMode val="edge"/>
                  <c:x val="0.50808371382852402"/>
                  <c:y val="0.29968454258675131"/>
                </c:manualLayout>
              </c:layout>
              <c:dLblPos val="outEnd"/>
              <c:showVal val="1"/>
            </c:dLbl>
            <c:dLbl>
              <c:idx val="17"/>
              <c:layout>
                <c:manualLayout>
                  <c:xMode val="edge"/>
                  <c:yMode val="edge"/>
                  <c:x val="0.57043944234385002"/>
                  <c:y val="0.23659305993690904"/>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INDICADORES'!$C$49:$AL$49</c:f>
              <c:strCache>
                <c:ptCount val="5"/>
                <c:pt idx="0">
                  <c:v>DIC 2010</c:v>
                </c:pt>
                <c:pt idx="1">
                  <c:v>DIC 2011</c:v>
                </c:pt>
                <c:pt idx="2">
                  <c:v>DIC 2012</c:v>
                </c:pt>
                <c:pt idx="3">
                  <c:v>DIC 2013</c:v>
                </c:pt>
                <c:pt idx="4">
                  <c:v>DIC 2014</c:v>
                </c:pt>
              </c:strCache>
            </c:strRef>
          </c:cat>
          <c:val>
            <c:numRef>
              <c:f>'DATOS CALCULO INDICADORES'!$C$50:$AL$50</c:f>
              <c:numCache>
                <c:formatCode>0.00%</c:formatCode>
                <c:ptCount val="5"/>
                <c:pt idx="0">
                  <c:v>0.72476209611134401</c:v>
                </c:pt>
                <c:pt idx="1">
                  <c:v>0.69895350328977768</c:v>
                </c:pt>
                <c:pt idx="2">
                  <c:v>0.66343863792934032</c:v>
                </c:pt>
                <c:pt idx="3">
                  <c:v>0.54089042692439004</c:v>
                </c:pt>
                <c:pt idx="4">
                  <c:v>0.60790596620660564</c:v>
                </c:pt>
              </c:numCache>
            </c:numRef>
          </c:val>
        </c:ser>
        <c:gapWidth val="50"/>
        <c:axId val="166324480"/>
        <c:axId val="166203392"/>
      </c:barChart>
      <c:lineChart>
        <c:grouping val="standard"/>
        <c:ser>
          <c:idx val="1"/>
          <c:order val="1"/>
          <c:tx>
            <c:strRef>
              <c:f>'DATOS CALCULO INDICADORES'!$B$51</c:f>
              <c:strCache>
                <c:ptCount val="1"/>
                <c:pt idx="0">
                  <c:v>EXCELENTE</c:v>
                </c:pt>
              </c:strCache>
            </c:strRef>
          </c:tx>
          <c:spPr>
            <a:ln w="25400">
              <a:solidFill>
                <a:srgbClr val="008000"/>
              </a:solidFill>
              <a:prstDash val="solid"/>
            </a:ln>
          </c:spPr>
          <c:marker>
            <c:symbol val="none"/>
          </c:marker>
          <c:cat>
            <c:strRef>
              <c:f>'DATOS CALCULO INDICADORES'!$C$49:$AL$49</c:f>
              <c:strCache>
                <c:ptCount val="5"/>
                <c:pt idx="0">
                  <c:v>DIC 2010</c:v>
                </c:pt>
                <c:pt idx="1">
                  <c:v>DIC 2011</c:v>
                </c:pt>
                <c:pt idx="2">
                  <c:v>DIC 2012</c:v>
                </c:pt>
                <c:pt idx="3">
                  <c:v>DIC 2013</c:v>
                </c:pt>
                <c:pt idx="4">
                  <c:v>DIC 2014</c:v>
                </c:pt>
              </c:strCache>
            </c:strRef>
          </c:cat>
          <c:val>
            <c:numRef>
              <c:f>'DATOS CALCULO INDICADORES'!$C$51:$AL$51</c:f>
              <c:numCache>
                <c:formatCode>0.00%</c:formatCode>
                <c:ptCount val="5"/>
                <c:pt idx="0">
                  <c:v>0.75000000000000244</c:v>
                </c:pt>
                <c:pt idx="1">
                  <c:v>0.75000000000000244</c:v>
                </c:pt>
                <c:pt idx="2">
                  <c:v>0.75000000000000244</c:v>
                </c:pt>
                <c:pt idx="3">
                  <c:v>0.75000000000000244</c:v>
                </c:pt>
                <c:pt idx="4">
                  <c:v>0.75000000000000244</c:v>
                </c:pt>
              </c:numCache>
            </c:numRef>
          </c:val>
        </c:ser>
        <c:ser>
          <c:idx val="2"/>
          <c:order val="2"/>
          <c:tx>
            <c:strRef>
              <c:f>'DATOS CALCULO INDICADORES'!$B$52</c:f>
              <c:strCache>
                <c:ptCount val="1"/>
                <c:pt idx="0">
                  <c:v>REGULAR</c:v>
                </c:pt>
              </c:strCache>
            </c:strRef>
          </c:tx>
          <c:spPr>
            <a:ln w="25400">
              <a:solidFill>
                <a:srgbClr val="3366FF"/>
              </a:solidFill>
              <a:prstDash val="solid"/>
            </a:ln>
          </c:spPr>
          <c:marker>
            <c:symbol val="none"/>
          </c:marker>
          <c:cat>
            <c:strRef>
              <c:f>'DATOS CALCULO INDICADORES'!$C$49:$AL$49</c:f>
              <c:strCache>
                <c:ptCount val="5"/>
                <c:pt idx="0">
                  <c:v>DIC 2010</c:v>
                </c:pt>
                <c:pt idx="1">
                  <c:v>DIC 2011</c:v>
                </c:pt>
                <c:pt idx="2">
                  <c:v>DIC 2012</c:v>
                </c:pt>
                <c:pt idx="3">
                  <c:v>DIC 2013</c:v>
                </c:pt>
                <c:pt idx="4">
                  <c:v>DIC 2014</c:v>
                </c:pt>
              </c:strCache>
            </c:strRef>
          </c:cat>
          <c:val>
            <c:numRef>
              <c:f>'DATOS CALCULO INDICADORES'!$C$52:$AL$52</c:f>
              <c:numCache>
                <c:formatCode>0.00%</c:formatCode>
                <c:ptCount val="5"/>
                <c:pt idx="0">
                  <c:v>0.60000000000000064</c:v>
                </c:pt>
                <c:pt idx="1">
                  <c:v>0.60000000000000064</c:v>
                </c:pt>
                <c:pt idx="2">
                  <c:v>0.60000000000000064</c:v>
                </c:pt>
                <c:pt idx="3">
                  <c:v>0.60000000000000064</c:v>
                </c:pt>
                <c:pt idx="4">
                  <c:v>0.60000000000000064</c:v>
                </c:pt>
              </c:numCache>
            </c:numRef>
          </c:val>
        </c:ser>
        <c:ser>
          <c:idx val="3"/>
          <c:order val="3"/>
          <c:tx>
            <c:strRef>
              <c:f>'DATOS CALCULO INDICADORES'!$B$53</c:f>
              <c:strCache>
                <c:ptCount val="1"/>
                <c:pt idx="0">
                  <c:v>DEFICIENTE</c:v>
                </c:pt>
              </c:strCache>
            </c:strRef>
          </c:tx>
          <c:spPr>
            <a:ln w="25400">
              <a:solidFill>
                <a:srgbClr val="FF0000"/>
              </a:solidFill>
              <a:prstDash val="solid"/>
            </a:ln>
          </c:spPr>
          <c:marker>
            <c:symbol val="none"/>
          </c:marker>
          <c:cat>
            <c:strRef>
              <c:f>'DATOS CALCULO INDICADORES'!$C$49:$AL$49</c:f>
              <c:strCache>
                <c:ptCount val="5"/>
                <c:pt idx="0">
                  <c:v>DIC 2010</c:v>
                </c:pt>
                <c:pt idx="1">
                  <c:v>DIC 2011</c:v>
                </c:pt>
                <c:pt idx="2">
                  <c:v>DIC 2012</c:v>
                </c:pt>
                <c:pt idx="3">
                  <c:v>DIC 2013</c:v>
                </c:pt>
                <c:pt idx="4">
                  <c:v>DIC 2014</c:v>
                </c:pt>
              </c:strCache>
            </c:strRef>
          </c:cat>
          <c:val>
            <c:numRef>
              <c:f>'DATOS CALCULO INDICADORES'!$C$53:$AL$53</c:f>
              <c:numCache>
                <c:formatCode>0.00%</c:formatCode>
                <c:ptCount val="5"/>
                <c:pt idx="0">
                  <c:v>0.45</c:v>
                </c:pt>
                <c:pt idx="1">
                  <c:v>0.45</c:v>
                </c:pt>
                <c:pt idx="2">
                  <c:v>0.45</c:v>
                </c:pt>
                <c:pt idx="3">
                  <c:v>0.45</c:v>
                </c:pt>
                <c:pt idx="4">
                  <c:v>0.45</c:v>
                </c:pt>
              </c:numCache>
            </c:numRef>
          </c:val>
        </c:ser>
        <c:marker val="1"/>
        <c:axId val="166324480"/>
        <c:axId val="166203392"/>
      </c:lineChart>
      <c:catAx>
        <c:axId val="166324480"/>
        <c:scaling>
          <c:orientation val="minMax"/>
        </c:scaling>
        <c:axPos val="b"/>
        <c:numFmt formatCode="@" sourceLinked="1"/>
        <c:tickLblPos val="nextTo"/>
        <c:spPr>
          <a:ln w="3175">
            <a:solidFill>
              <a:srgbClr val="000000"/>
            </a:solidFill>
            <a:prstDash val="solid"/>
          </a:ln>
        </c:spPr>
        <c:txPr>
          <a:bodyPr rot="0" vert="horz"/>
          <a:lstStyle/>
          <a:p>
            <a:pPr>
              <a:defRPr lang="es-ES" sz="925" b="1" i="0" u="none" strike="noStrike" baseline="0">
                <a:solidFill>
                  <a:srgbClr val="000000"/>
                </a:solidFill>
                <a:latin typeface="Arial"/>
                <a:ea typeface="Arial"/>
                <a:cs typeface="Arial"/>
              </a:defRPr>
            </a:pPr>
            <a:endParaRPr lang="es-ES"/>
          </a:p>
        </c:txPr>
        <c:crossAx val="166203392"/>
        <c:crosses val="autoZero"/>
        <c:auto val="1"/>
        <c:lblAlgn val="ctr"/>
        <c:lblOffset val="100"/>
        <c:tickLblSkip val="1"/>
        <c:tickMarkSkip val="1"/>
      </c:catAx>
      <c:valAx>
        <c:axId val="166203392"/>
        <c:scaling>
          <c:orientation val="minMax"/>
          <c:max val="1.1000000000000001"/>
          <c:min val="0"/>
        </c:scaling>
        <c:axPos val="l"/>
        <c:numFmt formatCode="0%" sourceLinked="0"/>
        <c:tickLblPos val="nextTo"/>
        <c:spPr>
          <a:ln w="3175">
            <a:solidFill>
              <a:srgbClr val="000000"/>
            </a:solidFill>
            <a:prstDash val="solid"/>
          </a:ln>
        </c:spPr>
        <c:txPr>
          <a:bodyPr rot="0" vert="horz"/>
          <a:lstStyle/>
          <a:p>
            <a:pPr>
              <a:defRPr lang="es-ES" sz="925" b="0" i="0" u="none" strike="noStrike" baseline="0">
                <a:solidFill>
                  <a:srgbClr val="000000"/>
                </a:solidFill>
                <a:latin typeface="Arial"/>
                <a:ea typeface="Arial"/>
                <a:cs typeface="Arial"/>
              </a:defRPr>
            </a:pPr>
            <a:endParaRPr lang="es-ES"/>
          </a:p>
        </c:txPr>
        <c:crossAx val="166324480"/>
        <c:crosses val="autoZero"/>
        <c:crossBetween val="between"/>
        <c:majorUnit val="0.2"/>
        <c:minorUnit val="0.1"/>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221709256943356"/>
          <c:y val="2.2082018927445143E-2"/>
          <c:w val="0.7690539850222583"/>
          <c:h val="0.17981072555205024"/>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00" b="0"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0023866348448709"/>
          <c:y val="0.13650835971093744"/>
          <c:w val="0.88305489260143732"/>
          <c:h val="0.74603405888535101"/>
        </c:manualLayout>
      </c:layout>
      <c:barChart>
        <c:barDir val="col"/>
        <c:grouping val="clustered"/>
        <c:ser>
          <c:idx val="0"/>
          <c:order val="0"/>
          <c:tx>
            <c:strRef>
              <c:f>'DATOS CALCULO INDICADORES'!$B$55</c:f>
              <c:strCache>
                <c:ptCount val="1"/>
                <c:pt idx="0">
                  <c:v>CDT/pasivo total</c:v>
                </c:pt>
              </c:strCache>
            </c:strRef>
          </c:tx>
          <c:spPr>
            <a:solidFill>
              <a:srgbClr val="CCFFCC"/>
            </a:solidFill>
            <a:ln w="12700">
              <a:solidFill>
                <a:srgbClr val="000000"/>
              </a:solidFill>
              <a:prstDash val="solid"/>
            </a:ln>
          </c:spPr>
          <c:dLbls>
            <c:dLbl>
              <c:idx val="0"/>
              <c:layout>
                <c:manualLayout>
                  <c:x val="-4.3772049307897595E-3"/>
                  <c:y val="2.6811908251728522E-2"/>
                </c:manualLayout>
              </c:layout>
              <c:dLblPos val="outEnd"/>
              <c:showVal val="1"/>
            </c:dLbl>
            <c:dLbl>
              <c:idx val="1"/>
              <c:layout>
                <c:manualLayout>
                  <c:x val="8.1578493715113234E-3"/>
                  <c:y val="-2.1475562307958402E-2"/>
                </c:manualLayout>
              </c:layout>
              <c:dLblPos val="outEnd"/>
              <c:showVal val="1"/>
            </c:dLbl>
            <c:dLbl>
              <c:idx val="2"/>
              <c:layout>
                <c:manualLayout>
                  <c:x val="1.0127203109787005E-2"/>
                  <c:y val="6.6777367114824919E-3"/>
                </c:manualLayout>
              </c:layout>
              <c:dLblPos val="outEnd"/>
              <c:showVal val="1"/>
            </c:dLbl>
            <c:dLbl>
              <c:idx val="3"/>
              <c:layout>
                <c:manualLayout>
                  <c:x val="4.8577068476986065E-3"/>
                  <c:y val="4.3218623646070434E-3"/>
                </c:manualLayout>
              </c:layout>
              <c:dLblPos val="outEnd"/>
              <c:showVal val="1"/>
            </c:dLbl>
            <c:dLbl>
              <c:idx val="4"/>
              <c:layout>
                <c:manualLayout>
                  <c:x val="8.9050921140825618E-4"/>
                  <c:y val="3.9748364787734912E-3"/>
                </c:manualLayout>
              </c:layout>
              <c:dLblPos val="outEnd"/>
              <c:showVal val="1"/>
            </c:dLbl>
            <c:dLbl>
              <c:idx val="5"/>
              <c:dLblPos val="outEnd"/>
              <c:showVal val="1"/>
            </c:dLbl>
            <c:dLbl>
              <c:idx val="6"/>
              <c:dLblPos val="outEnd"/>
              <c:showVal val="1"/>
            </c:dLbl>
            <c:dLbl>
              <c:idx val="7"/>
              <c:dLblPos val="outEnd"/>
              <c:showVal val="1"/>
            </c:dLbl>
            <c:dLbl>
              <c:idx val="8"/>
              <c:dLblPos val="outEnd"/>
              <c:showVal val="1"/>
            </c:dLbl>
            <c:dLbl>
              <c:idx val="9"/>
              <c:dLblPos val="outEnd"/>
              <c:showVal val="1"/>
            </c:dLbl>
            <c:dLbl>
              <c:idx val="10"/>
              <c:layout>
                <c:manualLayout>
                  <c:xMode val="edge"/>
                  <c:yMode val="edge"/>
                  <c:x val="0.89737470167064359"/>
                  <c:y val="1.5873065082667278E-2"/>
                </c:manualLayout>
              </c:layout>
              <c:dLblPos val="outEnd"/>
              <c:showVal val="1"/>
            </c:dLbl>
            <c:dLbl>
              <c:idx val="11"/>
              <c:layout>
                <c:manualLayout>
                  <c:xMode val="edge"/>
                  <c:yMode val="edge"/>
                  <c:x val="0.97613365155131204"/>
                  <c:y val="1.5873065082667278E-2"/>
                </c:manualLayout>
              </c:layout>
              <c:dLblPos val="outEnd"/>
              <c:showVal val="1"/>
            </c:dLbl>
            <c:dLbl>
              <c:idx val="12"/>
              <c:layout>
                <c:manualLayout>
                  <c:xMode val="edge"/>
                  <c:yMode val="edge"/>
                  <c:x val="0.41288782816229552"/>
                  <c:y val="0.25396904132267634"/>
                </c:manualLayout>
              </c:layout>
              <c:dLblPos val="outEnd"/>
              <c:showVal val="1"/>
            </c:dLbl>
            <c:dLbl>
              <c:idx val="13"/>
              <c:layout>
                <c:manualLayout>
                  <c:xMode val="edge"/>
                  <c:yMode val="edge"/>
                  <c:x val="0.44868735083532174"/>
                  <c:y val="0.29841362355414464"/>
                </c:manualLayout>
              </c:layout>
              <c:dLblPos val="outEnd"/>
              <c:showVal val="1"/>
            </c:dLbl>
            <c:dLbl>
              <c:idx val="14"/>
              <c:layout>
                <c:manualLayout>
                  <c:xMode val="edge"/>
                  <c:yMode val="edge"/>
                  <c:x val="0.47016706443914102"/>
                  <c:y val="0.24127058925653888"/>
                </c:manualLayout>
              </c:layout>
              <c:dLblPos val="outEnd"/>
              <c:showVal val="1"/>
            </c:dLbl>
            <c:dLbl>
              <c:idx val="15"/>
              <c:layout>
                <c:manualLayout>
                  <c:xMode val="edge"/>
                  <c:yMode val="edge"/>
                  <c:x val="0.52983293556085898"/>
                  <c:y val="0.25079442830613419"/>
                </c:manualLayout>
              </c:layout>
              <c:dLblPos val="outEnd"/>
              <c:showVal val="1"/>
            </c:dLbl>
            <c:dLbl>
              <c:idx val="16"/>
              <c:layout>
                <c:manualLayout>
                  <c:xMode val="edge"/>
                  <c:yMode val="edge"/>
                  <c:x val="0.52505966587112196"/>
                  <c:y val="0.30158823657067751"/>
                </c:manualLayout>
              </c:layout>
              <c:dLblPos val="outEnd"/>
              <c:showVal val="1"/>
            </c:dLbl>
            <c:dLbl>
              <c:idx val="17"/>
              <c:layout>
                <c:manualLayout>
                  <c:xMode val="edge"/>
                  <c:yMode val="edge"/>
                  <c:x val="0.58949880668258503"/>
                  <c:y val="0.238095976240006"/>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INDICADORES'!$C$54:$AL$54</c:f>
              <c:strCache>
                <c:ptCount val="5"/>
                <c:pt idx="0">
                  <c:v>DIC 2010</c:v>
                </c:pt>
                <c:pt idx="1">
                  <c:v>DIC 2011</c:v>
                </c:pt>
                <c:pt idx="2">
                  <c:v>DIC 2012</c:v>
                </c:pt>
                <c:pt idx="3">
                  <c:v>DIC 2013</c:v>
                </c:pt>
                <c:pt idx="4">
                  <c:v>DIC 2014</c:v>
                </c:pt>
              </c:strCache>
            </c:strRef>
          </c:cat>
          <c:val>
            <c:numRef>
              <c:f>'DATOS CALCULO INDICADORES'!$C$55:$AL$55</c:f>
              <c:numCache>
                <c:formatCode>0.00%</c:formatCode>
                <c:ptCount val="5"/>
                <c:pt idx="0">
                  <c:v>1.0849513233118472E-2</c:v>
                </c:pt>
                <c:pt idx="1">
                  <c:v>1.1198064622546399E-2</c:v>
                </c:pt>
                <c:pt idx="2">
                  <c:v>9.8376144080307024E-2</c:v>
                </c:pt>
                <c:pt idx="3">
                  <c:v>9.3865987699700504E-2</c:v>
                </c:pt>
                <c:pt idx="4">
                  <c:v>0.11666692717695447</c:v>
                </c:pt>
              </c:numCache>
            </c:numRef>
          </c:val>
        </c:ser>
        <c:gapWidth val="50"/>
        <c:axId val="166260096"/>
        <c:axId val="166360192"/>
      </c:barChart>
      <c:lineChart>
        <c:grouping val="standard"/>
        <c:ser>
          <c:idx val="1"/>
          <c:order val="1"/>
          <c:tx>
            <c:strRef>
              <c:f>'DATOS CALCULO INDICADORES'!$B$56</c:f>
              <c:strCache>
                <c:ptCount val="1"/>
                <c:pt idx="0">
                  <c:v>EXCELENTE</c:v>
                </c:pt>
              </c:strCache>
            </c:strRef>
          </c:tx>
          <c:spPr>
            <a:ln w="25400">
              <a:solidFill>
                <a:srgbClr val="008000"/>
              </a:solidFill>
              <a:prstDash val="solid"/>
            </a:ln>
          </c:spPr>
          <c:marker>
            <c:symbol val="none"/>
          </c:marker>
          <c:cat>
            <c:strRef>
              <c:f>'DATOS CALCULO INDICADORES'!$C$54:$AL$54</c:f>
              <c:strCache>
                <c:ptCount val="5"/>
                <c:pt idx="0">
                  <c:v>DIC 2010</c:v>
                </c:pt>
                <c:pt idx="1">
                  <c:v>DIC 2011</c:v>
                </c:pt>
                <c:pt idx="2">
                  <c:v>DIC 2012</c:v>
                </c:pt>
                <c:pt idx="3">
                  <c:v>DIC 2013</c:v>
                </c:pt>
                <c:pt idx="4">
                  <c:v>DIC 2014</c:v>
                </c:pt>
              </c:strCache>
            </c:strRef>
          </c:cat>
          <c:val>
            <c:numRef>
              <c:f>'DATOS CALCULO INDICADORES'!$C$56:$AL$56</c:f>
              <c:numCache>
                <c:formatCode>0.00%</c:formatCode>
                <c:ptCount val="5"/>
                <c:pt idx="0">
                  <c:v>9.0000000000000024E-2</c:v>
                </c:pt>
                <c:pt idx="1">
                  <c:v>9.0000000000000024E-2</c:v>
                </c:pt>
                <c:pt idx="2">
                  <c:v>9.0000000000000024E-2</c:v>
                </c:pt>
                <c:pt idx="3">
                  <c:v>9.0000000000000024E-2</c:v>
                </c:pt>
                <c:pt idx="4">
                  <c:v>9.0000000000000024E-2</c:v>
                </c:pt>
              </c:numCache>
            </c:numRef>
          </c:val>
        </c:ser>
        <c:ser>
          <c:idx val="2"/>
          <c:order val="2"/>
          <c:tx>
            <c:strRef>
              <c:f>'DATOS CALCULO INDICADORES'!$B$57</c:f>
              <c:strCache>
                <c:ptCount val="1"/>
                <c:pt idx="0">
                  <c:v>REGULAR</c:v>
                </c:pt>
              </c:strCache>
            </c:strRef>
          </c:tx>
          <c:spPr>
            <a:ln w="25400">
              <a:solidFill>
                <a:srgbClr val="3366FF"/>
              </a:solidFill>
              <a:prstDash val="solid"/>
            </a:ln>
          </c:spPr>
          <c:marker>
            <c:symbol val="none"/>
          </c:marker>
          <c:cat>
            <c:strRef>
              <c:f>'DATOS CALCULO INDICADORES'!$C$54:$AL$54</c:f>
              <c:strCache>
                <c:ptCount val="5"/>
                <c:pt idx="0">
                  <c:v>DIC 2010</c:v>
                </c:pt>
                <c:pt idx="1">
                  <c:v>DIC 2011</c:v>
                </c:pt>
                <c:pt idx="2">
                  <c:v>DIC 2012</c:v>
                </c:pt>
                <c:pt idx="3">
                  <c:v>DIC 2013</c:v>
                </c:pt>
                <c:pt idx="4">
                  <c:v>DIC 2014</c:v>
                </c:pt>
              </c:strCache>
            </c:strRef>
          </c:cat>
          <c:val>
            <c:numRef>
              <c:f>'DATOS CALCULO INDICADORES'!$C$57:$AL$57</c:f>
              <c:numCache>
                <c:formatCode>0.00%</c:formatCode>
                <c:ptCount val="5"/>
                <c:pt idx="0">
                  <c:v>0.12000000000000002</c:v>
                </c:pt>
                <c:pt idx="1">
                  <c:v>0.12000000000000002</c:v>
                </c:pt>
                <c:pt idx="2">
                  <c:v>0.12000000000000002</c:v>
                </c:pt>
                <c:pt idx="3">
                  <c:v>0.12000000000000002</c:v>
                </c:pt>
                <c:pt idx="4">
                  <c:v>0.12000000000000002</c:v>
                </c:pt>
              </c:numCache>
            </c:numRef>
          </c:val>
        </c:ser>
        <c:ser>
          <c:idx val="3"/>
          <c:order val="3"/>
          <c:tx>
            <c:strRef>
              <c:f>'DATOS CALCULO INDICADORES'!$B$58</c:f>
              <c:strCache>
                <c:ptCount val="1"/>
                <c:pt idx="0">
                  <c:v>DEFICIENTE</c:v>
                </c:pt>
              </c:strCache>
            </c:strRef>
          </c:tx>
          <c:spPr>
            <a:ln w="25400">
              <a:solidFill>
                <a:srgbClr val="FF0000"/>
              </a:solidFill>
              <a:prstDash val="solid"/>
            </a:ln>
          </c:spPr>
          <c:marker>
            <c:symbol val="none"/>
          </c:marker>
          <c:cat>
            <c:strRef>
              <c:f>'DATOS CALCULO INDICADORES'!$C$54:$AL$54</c:f>
              <c:strCache>
                <c:ptCount val="5"/>
                <c:pt idx="0">
                  <c:v>DIC 2010</c:v>
                </c:pt>
                <c:pt idx="1">
                  <c:v>DIC 2011</c:v>
                </c:pt>
                <c:pt idx="2">
                  <c:v>DIC 2012</c:v>
                </c:pt>
                <c:pt idx="3">
                  <c:v>DIC 2013</c:v>
                </c:pt>
                <c:pt idx="4">
                  <c:v>DIC 2014</c:v>
                </c:pt>
              </c:strCache>
            </c:strRef>
          </c:cat>
          <c:val>
            <c:numRef>
              <c:f>'DATOS CALCULO INDICADORES'!$C$58:$AL$58</c:f>
              <c:numCache>
                <c:formatCode>0.00%</c:formatCode>
                <c:ptCount val="5"/>
                <c:pt idx="0">
                  <c:v>0.15000000000000024</c:v>
                </c:pt>
                <c:pt idx="1">
                  <c:v>0.15000000000000024</c:v>
                </c:pt>
                <c:pt idx="2">
                  <c:v>0.15000000000000024</c:v>
                </c:pt>
                <c:pt idx="3">
                  <c:v>0.15000000000000024</c:v>
                </c:pt>
                <c:pt idx="4">
                  <c:v>0.15000000000000024</c:v>
                </c:pt>
              </c:numCache>
            </c:numRef>
          </c:val>
        </c:ser>
        <c:marker val="1"/>
        <c:axId val="166260096"/>
        <c:axId val="166360192"/>
      </c:lineChart>
      <c:catAx>
        <c:axId val="166260096"/>
        <c:scaling>
          <c:orientation val="minMax"/>
        </c:scaling>
        <c:axPos val="b"/>
        <c:numFmt formatCode="@"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Arial"/>
                <a:ea typeface="Arial"/>
                <a:cs typeface="Arial"/>
              </a:defRPr>
            </a:pPr>
            <a:endParaRPr lang="es-ES"/>
          </a:p>
        </c:txPr>
        <c:crossAx val="166360192"/>
        <c:crosses val="autoZero"/>
        <c:auto val="1"/>
        <c:lblAlgn val="ctr"/>
        <c:lblOffset val="100"/>
        <c:tickLblSkip val="1"/>
        <c:tickMarkSkip val="1"/>
      </c:catAx>
      <c:valAx>
        <c:axId val="166360192"/>
        <c:scaling>
          <c:orientation val="minMax"/>
          <c:max val="0.4"/>
          <c:min val="0"/>
        </c:scaling>
        <c:axPos val="l"/>
        <c:numFmt formatCode="0%" sourceLinked="0"/>
        <c:tickLblPos val="nextTo"/>
        <c:spPr>
          <a:ln w="3175">
            <a:solidFill>
              <a:srgbClr val="000000"/>
            </a:solidFill>
            <a:prstDash val="solid"/>
          </a:ln>
        </c:spPr>
        <c:txPr>
          <a:bodyPr rot="0" vert="horz"/>
          <a:lstStyle/>
          <a:p>
            <a:pPr>
              <a:defRPr lang="es-ES" sz="900" b="0" i="0" u="none" strike="noStrike" baseline="0">
                <a:solidFill>
                  <a:srgbClr val="000000"/>
                </a:solidFill>
                <a:latin typeface="Arial"/>
                <a:ea typeface="Arial"/>
                <a:cs typeface="Arial"/>
              </a:defRPr>
            </a:pPr>
            <a:endParaRPr lang="es-ES"/>
          </a:p>
        </c:txPr>
        <c:crossAx val="166260096"/>
        <c:crosses val="autoZero"/>
        <c:crossBetween val="between"/>
        <c:majorUnit val="0.05"/>
        <c:minorUnit val="1.0000000000000005E-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1.7501988862370709E-2"/>
          <c:y val="1.05820105820106E-3"/>
          <c:w val="0.79474940334129762"/>
          <c:h val="0.14603219876053741"/>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50" b="0" i="0" u="none" strike="noStrike" baseline="0">
          <a:solidFill>
            <a:srgbClr val="000000"/>
          </a:solidFill>
          <a:latin typeface="Arial"/>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0975609756097612"/>
          <c:y val="0.14335688810657501"/>
          <c:w val="0.87317073170731696"/>
          <c:h val="0.72377745946491068"/>
        </c:manualLayout>
      </c:layout>
      <c:barChart>
        <c:barDir val="col"/>
        <c:grouping val="clustered"/>
        <c:ser>
          <c:idx val="0"/>
          <c:order val="0"/>
          <c:tx>
            <c:strRef>
              <c:f>'DATOS CALCULO INDICADORES'!$B$65</c:f>
              <c:strCache>
                <c:ptCount val="1"/>
                <c:pt idx="0">
                  <c:v>cartera vencida </c:v>
                </c:pt>
              </c:strCache>
            </c:strRef>
          </c:tx>
          <c:spPr>
            <a:solidFill>
              <a:srgbClr val="993300"/>
            </a:solidFill>
            <a:ln w="12700">
              <a:solidFill>
                <a:srgbClr val="000000"/>
              </a:solidFill>
              <a:prstDash val="solid"/>
            </a:ln>
          </c:spPr>
          <c:dLbls>
            <c:dLbl>
              <c:idx val="0"/>
              <c:layout>
                <c:manualLayout>
                  <c:x val="-5.6503424876768781E-3"/>
                  <c:y val="-7.2415248793202E-3"/>
                </c:manualLayout>
              </c:layout>
              <c:dLblPos val="outEnd"/>
              <c:showVal val="1"/>
            </c:dLbl>
            <c:dLbl>
              <c:idx val="1"/>
              <c:layout>
                <c:manualLayout>
                  <c:x val="1.4105627040522303E-2"/>
                  <c:y val="-6.1622563221072006E-2"/>
                </c:manualLayout>
              </c:layout>
              <c:dLblPos val="outEnd"/>
              <c:showVal val="1"/>
            </c:dLbl>
            <c:dLbl>
              <c:idx val="2"/>
              <c:layout>
                <c:manualLayout>
                  <c:x val="1.3130017284424899E-2"/>
                  <c:y val="-2.125543445323811E-2"/>
                </c:manualLayout>
              </c:layout>
              <c:dLblPos val="outEnd"/>
              <c:showVal val="1"/>
            </c:dLbl>
            <c:dLbl>
              <c:idx val="3"/>
              <c:layout>
                <c:manualLayout>
                  <c:x val="2.8861148454006869E-3"/>
                  <c:y val="-2.7181895535738406E-2"/>
                </c:manualLayout>
              </c:layout>
              <c:dLblPos val="outEnd"/>
              <c:showVal val="1"/>
            </c:dLbl>
            <c:dLbl>
              <c:idx val="4"/>
              <c:layout>
                <c:manualLayout>
                  <c:x val="-3.4254787363990004E-3"/>
                  <c:y val="-2.8847379299262606E-3"/>
                </c:manualLayout>
              </c:layout>
              <c:dLblPos val="outEnd"/>
              <c:showVal val="1"/>
            </c:dLbl>
            <c:dLbl>
              <c:idx val="5"/>
              <c:layout>
                <c:manualLayout>
                  <c:x val="-8.6178861788617708E-3"/>
                  <c:y val="-3.9328230824293799E-2"/>
                </c:manualLayout>
              </c:layout>
              <c:dLblPos val="outEnd"/>
              <c:showVal val="1"/>
            </c:dLbl>
            <c:dLbl>
              <c:idx val="6"/>
              <c:layout>
                <c:manualLayout>
                  <c:x val="-1.3484412009474402E-2"/>
                  <c:y val="1.0289815171704898E-2"/>
                </c:manualLayout>
              </c:layout>
              <c:dLblPos val="outEnd"/>
              <c:showVal val="1"/>
            </c:dLbl>
            <c:dLbl>
              <c:idx val="7"/>
              <c:layout>
                <c:manualLayout>
                  <c:xMode val="edge"/>
                  <c:yMode val="edge"/>
                  <c:x val="0.72926829268292703"/>
                  <c:y val="0.17132896383468688"/>
                </c:manualLayout>
              </c:layout>
              <c:dLblPos val="outEnd"/>
              <c:showVal val="1"/>
            </c:dLbl>
            <c:dLbl>
              <c:idx val="8"/>
              <c:layout>
                <c:manualLayout>
                  <c:xMode val="edge"/>
                  <c:yMode val="edge"/>
                  <c:x val="0.82926829268292701"/>
                  <c:y val="0.53496594830014699"/>
                </c:manualLayout>
              </c:layout>
              <c:dLblPos val="outEnd"/>
              <c:showVal val="1"/>
            </c:dLbl>
            <c:dLbl>
              <c:idx val="9"/>
              <c:layout>
                <c:manualLayout>
                  <c:xMode val="edge"/>
                  <c:yMode val="edge"/>
                  <c:x val="0.92195121951220005"/>
                  <c:y val="0.68531585533875061"/>
                </c:manualLayout>
              </c:layout>
              <c:dLblPos val="outEnd"/>
              <c:showVal val="1"/>
            </c:dLbl>
            <c:dLbl>
              <c:idx val="10"/>
              <c:layout>
                <c:manualLayout>
                  <c:xMode val="edge"/>
                  <c:yMode val="edge"/>
                  <c:x val="0.90243902439024359"/>
                  <c:y val="0.61538566601848066"/>
                </c:manualLayout>
              </c:layout>
              <c:dLblPos val="outEnd"/>
              <c:showVal val="1"/>
            </c:dLbl>
            <c:dLbl>
              <c:idx val="11"/>
              <c:layout>
                <c:manualLayout>
                  <c:xMode val="edge"/>
                  <c:yMode val="edge"/>
                  <c:x val="0.99756097560974955"/>
                  <c:y val="1.7482547330070205E-2"/>
                </c:manualLayout>
              </c:layout>
              <c:dLblPos val="outEnd"/>
              <c:showVal val="1"/>
            </c:dLbl>
            <c:dLbl>
              <c:idx val="12"/>
              <c:layout>
                <c:manualLayout>
                  <c:xMode val="edge"/>
                  <c:yMode val="edge"/>
                  <c:x val="0.421951219512195"/>
                  <c:y val="0.279720757281122"/>
                </c:manualLayout>
              </c:layout>
              <c:dLblPos val="outEnd"/>
              <c:showVal val="1"/>
            </c:dLbl>
            <c:dLbl>
              <c:idx val="13"/>
              <c:layout>
                <c:manualLayout>
                  <c:xMode val="edge"/>
                  <c:yMode val="edge"/>
                  <c:x val="0.45853658536586062"/>
                  <c:y val="0.32867188980532275"/>
                </c:manualLayout>
              </c:layout>
              <c:dLblPos val="outEnd"/>
              <c:showVal val="1"/>
            </c:dLbl>
            <c:dLbl>
              <c:idx val="14"/>
              <c:layout>
                <c:manualLayout>
                  <c:xMode val="edge"/>
                  <c:yMode val="edge"/>
                  <c:x val="0.48048780487805404"/>
                  <c:y val="0.265734719417066"/>
                </c:manualLayout>
              </c:layout>
              <c:dLblPos val="outEnd"/>
              <c:showVal val="1"/>
            </c:dLbl>
            <c:dLbl>
              <c:idx val="15"/>
              <c:layout>
                <c:manualLayout>
                  <c:xMode val="edge"/>
                  <c:yMode val="edge"/>
                  <c:x val="0.54146341463414704"/>
                  <c:y val="0.27622424781510801"/>
                </c:manualLayout>
              </c:layout>
              <c:dLblPos val="outEnd"/>
              <c:showVal val="1"/>
            </c:dLbl>
            <c:dLbl>
              <c:idx val="16"/>
              <c:layout>
                <c:manualLayout>
                  <c:xMode val="edge"/>
                  <c:yMode val="edge"/>
                  <c:x val="0.53658536585364802"/>
                  <c:y val="0.33216839927133635"/>
                </c:manualLayout>
              </c:layout>
              <c:dLblPos val="outEnd"/>
              <c:showVal val="1"/>
            </c:dLbl>
            <c:dLbl>
              <c:idx val="17"/>
              <c:layout>
                <c:manualLayout>
                  <c:xMode val="edge"/>
                  <c:yMode val="edge"/>
                  <c:x val="0.60243902439024399"/>
                  <c:y val="0.26223820995105201"/>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INDICADORES'!$C$64:$AL$64</c:f>
              <c:strCache>
                <c:ptCount val="5"/>
                <c:pt idx="0">
                  <c:v>DIC 2010</c:v>
                </c:pt>
                <c:pt idx="1">
                  <c:v>DIC 2011</c:v>
                </c:pt>
                <c:pt idx="2">
                  <c:v>DIC 2012</c:v>
                </c:pt>
                <c:pt idx="3">
                  <c:v>DIC 2013</c:v>
                </c:pt>
                <c:pt idx="4">
                  <c:v>DIC 2014</c:v>
                </c:pt>
              </c:strCache>
            </c:strRef>
          </c:cat>
          <c:val>
            <c:numRef>
              <c:f>'DATOS CALCULO INDICADORES'!$C$65:$AL$65</c:f>
              <c:numCache>
                <c:formatCode>#,##0</c:formatCode>
                <c:ptCount val="5"/>
                <c:pt idx="0">
                  <c:v>1292</c:v>
                </c:pt>
                <c:pt idx="1">
                  <c:v>667</c:v>
                </c:pt>
                <c:pt idx="2">
                  <c:v>670</c:v>
                </c:pt>
                <c:pt idx="3">
                  <c:v>648</c:v>
                </c:pt>
                <c:pt idx="4">
                  <c:v>921</c:v>
                </c:pt>
              </c:numCache>
            </c:numRef>
          </c:val>
        </c:ser>
        <c:gapWidth val="50"/>
        <c:axId val="166417152"/>
        <c:axId val="166418688"/>
      </c:barChart>
      <c:lineChart>
        <c:grouping val="standard"/>
        <c:ser>
          <c:idx val="1"/>
          <c:order val="1"/>
          <c:tx>
            <c:strRef>
              <c:f>'DATOS CALCULO INDICADORES'!$B$66</c:f>
              <c:strCache>
                <c:ptCount val="1"/>
                <c:pt idx="0">
                  <c:v>EXCELENTE</c:v>
                </c:pt>
              </c:strCache>
            </c:strRef>
          </c:tx>
          <c:spPr>
            <a:ln w="25400">
              <a:solidFill>
                <a:srgbClr val="008000"/>
              </a:solidFill>
              <a:prstDash val="solid"/>
            </a:ln>
          </c:spPr>
          <c:marker>
            <c:symbol val="none"/>
          </c:marker>
          <c:cat>
            <c:strRef>
              <c:f>'DATOS CALCULO INDICADORES'!$C$64:$AL$64</c:f>
              <c:strCache>
                <c:ptCount val="5"/>
                <c:pt idx="0">
                  <c:v>DIC 2010</c:v>
                </c:pt>
                <c:pt idx="1">
                  <c:v>DIC 2011</c:v>
                </c:pt>
                <c:pt idx="2">
                  <c:v>DIC 2012</c:v>
                </c:pt>
                <c:pt idx="3">
                  <c:v>DIC 2013</c:v>
                </c:pt>
                <c:pt idx="4">
                  <c:v>DIC 2014</c:v>
                </c:pt>
              </c:strCache>
            </c:strRef>
          </c:cat>
          <c:val>
            <c:numRef>
              <c:f>'DATOS CALCULO INDICADORES'!$C$66:$AL$66</c:f>
              <c:numCache>
                <c:formatCode>#,##0</c:formatCode>
                <c:ptCount val="5"/>
                <c:pt idx="0">
                  <c:v>600</c:v>
                </c:pt>
                <c:pt idx="1">
                  <c:v>600</c:v>
                </c:pt>
                <c:pt idx="2">
                  <c:v>600</c:v>
                </c:pt>
                <c:pt idx="3">
                  <c:v>600</c:v>
                </c:pt>
                <c:pt idx="4">
                  <c:v>600</c:v>
                </c:pt>
              </c:numCache>
            </c:numRef>
          </c:val>
        </c:ser>
        <c:ser>
          <c:idx val="2"/>
          <c:order val="2"/>
          <c:tx>
            <c:strRef>
              <c:f>'DATOS CALCULO INDICADORES'!$B$67</c:f>
              <c:strCache>
                <c:ptCount val="1"/>
                <c:pt idx="0">
                  <c:v>REGULAR</c:v>
                </c:pt>
              </c:strCache>
            </c:strRef>
          </c:tx>
          <c:spPr>
            <a:ln w="25400">
              <a:solidFill>
                <a:srgbClr val="3366FF"/>
              </a:solidFill>
              <a:prstDash val="solid"/>
            </a:ln>
          </c:spPr>
          <c:marker>
            <c:symbol val="none"/>
          </c:marker>
          <c:cat>
            <c:strRef>
              <c:f>'DATOS CALCULO INDICADORES'!$C$64:$AL$64</c:f>
              <c:strCache>
                <c:ptCount val="5"/>
                <c:pt idx="0">
                  <c:v>DIC 2010</c:v>
                </c:pt>
                <c:pt idx="1">
                  <c:v>DIC 2011</c:v>
                </c:pt>
                <c:pt idx="2">
                  <c:v>DIC 2012</c:v>
                </c:pt>
                <c:pt idx="3">
                  <c:v>DIC 2013</c:v>
                </c:pt>
                <c:pt idx="4">
                  <c:v>DIC 2014</c:v>
                </c:pt>
              </c:strCache>
            </c:strRef>
          </c:cat>
          <c:val>
            <c:numRef>
              <c:f>'DATOS CALCULO INDICADORES'!$C$67:$AL$67</c:f>
              <c:numCache>
                <c:formatCode>#,##0</c:formatCode>
                <c:ptCount val="5"/>
                <c:pt idx="0">
                  <c:v>800</c:v>
                </c:pt>
                <c:pt idx="1">
                  <c:v>800</c:v>
                </c:pt>
                <c:pt idx="2">
                  <c:v>800</c:v>
                </c:pt>
                <c:pt idx="3">
                  <c:v>800</c:v>
                </c:pt>
                <c:pt idx="4">
                  <c:v>800</c:v>
                </c:pt>
              </c:numCache>
            </c:numRef>
          </c:val>
        </c:ser>
        <c:ser>
          <c:idx val="3"/>
          <c:order val="3"/>
          <c:tx>
            <c:strRef>
              <c:f>'DATOS CALCULO INDICADORES'!$B$68</c:f>
              <c:strCache>
                <c:ptCount val="1"/>
                <c:pt idx="0">
                  <c:v>DEFICIENTE</c:v>
                </c:pt>
              </c:strCache>
            </c:strRef>
          </c:tx>
          <c:spPr>
            <a:ln w="25400">
              <a:solidFill>
                <a:srgbClr val="FF0000"/>
              </a:solidFill>
              <a:prstDash val="solid"/>
            </a:ln>
          </c:spPr>
          <c:marker>
            <c:symbol val="none"/>
          </c:marker>
          <c:cat>
            <c:strRef>
              <c:f>'DATOS CALCULO INDICADORES'!$C$64:$AL$64</c:f>
              <c:strCache>
                <c:ptCount val="5"/>
                <c:pt idx="0">
                  <c:v>DIC 2010</c:v>
                </c:pt>
                <c:pt idx="1">
                  <c:v>DIC 2011</c:v>
                </c:pt>
                <c:pt idx="2">
                  <c:v>DIC 2012</c:v>
                </c:pt>
                <c:pt idx="3">
                  <c:v>DIC 2013</c:v>
                </c:pt>
                <c:pt idx="4">
                  <c:v>DIC 2014</c:v>
                </c:pt>
              </c:strCache>
            </c:strRef>
          </c:cat>
          <c:val>
            <c:numRef>
              <c:f>'DATOS CALCULO INDICADORES'!$C$68:$AL$68</c:f>
              <c:numCache>
                <c:formatCode>#,##0</c:formatCode>
                <c:ptCount val="5"/>
                <c:pt idx="0">
                  <c:v>1000</c:v>
                </c:pt>
                <c:pt idx="1">
                  <c:v>1000</c:v>
                </c:pt>
                <c:pt idx="2">
                  <c:v>1000</c:v>
                </c:pt>
                <c:pt idx="3">
                  <c:v>1000</c:v>
                </c:pt>
                <c:pt idx="4">
                  <c:v>1000</c:v>
                </c:pt>
              </c:numCache>
            </c:numRef>
          </c:val>
        </c:ser>
        <c:marker val="1"/>
        <c:axId val="166417152"/>
        <c:axId val="166418688"/>
      </c:lineChart>
      <c:catAx>
        <c:axId val="166417152"/>
        <c:scaling>
          <c:orientation val="minMax"/>
        </c:scaling>
        <c:axPos val="b"/>
        <c:numFmt formatCode="@" sourceLinked="1"/>
        <c:tickLblPos val="nextTo"/>
        <c:spPr>
          <a:ln w="3175">
            <a:solidFill>
              <a:srgbClr val="000000"/>
            </a:solidFill>
            <a:prstDash val="solid"/>
          </a:ln>
        </c:spPr>
        <c:txPr>
          <a:bodyPr rot="0" vert="horz"/>
          <a:lstStyle/>
          <a:p>
            <a:pPr>
              <a:defRPr lang="es-ES" sz="875" b="1" i="0" u="none" strike="noStrike" baseline="0">
                <a:solidFill>
                  <a:srgbClr val="000000"/>
                </a:solidFill>
                <a:latin typeface="Arial"/>
                <a:ea typeface="Arial"/>
                <a:cs typeface="Arial"/>
              </a:defRPr>
            </a:pPr>
            <a:endParaRPr lang="es-ES"/>
          </a:p>
        </c:txPr>
        <c:crossAx val="166418688"/>
        <c:crosses val="autoZero"/>
        <c:auto val="1"/>
        <c:lblAlgn val="ctr"/>
        <c:lblOffset val="100"/>
        <c:tickLblSkip val="1"/>
        <c:tickMarkSkip val="1"/>
      </c:catAx>
      <c:valAx>
        <c:axId val="166418688"/>
        <c:scaling>
          <c:orientation val="minMax"/>
          <c:max val="2000"/>
          <c:min val="0"/>
        </c:scaling>
        <c:axPos val="l"/>
        <c:numFmt formatCode="0" sourceLinked="0"/>
        <c:tickLblPos val="nextTo"/>
        <c:spPr>
          <a:ln w="3175">
            <a:solidFill>
              <a:srgbClr val="000000"/>
            </a:solidFill>
            <a:prstDash val="solid"/>
          </a:ln>
        </c:spPr>
        <c:txPr>
          <a:bodyPr rot="0" vert="horz"/>
          <a:lstStyle/>
          <a:p>
            <a:pPr>
              <a:defRPr lang="es-ES" sz="875" b="0" i="0" u="none" strike="noStrike" baseline="0">
                <a:solidFill>
                  <a:srgbClr val="000000"/>
                </a:solidFill>
                <a:latin typeface="Arial"/>
                <a:ea typeface="Arial"/>
                <a:cs typeface="Arial"/>
              </a:defRPr>
            </a:pPr>
            <a:endParaRPr lang="es-ES"/>
          </a:p>
        </c:txPr>
        <c:crossAx val="166417152"/>
        <c:crosses val="autoZero"/>
        <c:crossBetween val="between"/>
        <c:majorUnit val="500"/>
        <c:minorUnit val="1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13902439024390201"/>
          <c:y val="3.1468531468531499E-2"/>
          <c:w val="0.81219512195121957"/>
          <c:h val="0.125874340776505"/>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25" b="0" i="0" u="none" strike="noStrike" baseline="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s-ES"/>
  <c:roundedCorners val="1"/>
  <c:chart>
    <c:plotArea>
      <c:layout>
        <c:manualLayout>
          <c:layoutTarget val="inner"/>
          <c:xMode val="edge"/>
          <c:yMode val="edge"/>
          <c:x val="9.9255703386350883E-2"/>
          <c:y val="0.10175473463108138"/>
          <c:w val="0.89081993789248903"/>
          <c:h val="0.78596760542627897"/>
        </c:manualLayout>
      </c:layout>
      <c:barChart>
        <c:barDir val="col"/>
        <c:grouping val="clustered"/>
        <c:ser>
          <c:idx val="0"/>
          <c:order val="0"/>
          <c:tx>
            <c:strRef>
              <c:f>'DATOS CALCULO INDICADORES'!$B$70</c:f>
              <c:strCache>
                <c:ptCount val="1"/>
                <c:pt idx="0">
                  <c:v>cartera vencida /cartera bruta</c:v>
                </c:pt>
              </c:strCache>
            </c:strRef>
          </c:tx>
          <c:spPr>
            <a:solidFill>
              <a:srgbClr val="FF6600"/>
            </a:solidFill>
            <a:ln w="12700">
              <a:solidFill>
                <a:srgbClr val="000000"/>
              </a:solidFill>
              <a:prstDash val="solid"/>
            </a:ln>
          </c:spPr>
          <c:dLbls>
            <c:dLbl>
              <c:idx val="0"/>
              <c:layout>
                <c:manualLayout>
                  <c:x val="-2.6633320661615186E-3"/>
                  <c:y val="-2.9624372645478212E-2"/>
                </c:manualLayout>
              </c:layout>
              <c:dLblPos val="outEnd"/>
              <c:showVal val="1"/>
            </c:dLbl>
            <c:dLbl>
              <c:idx val="1"/>
              <c:layout>
                <c:manualLayout>
                  <c:x val="2.7959504929216212E-3"/>
                  <c:y val="-9.6715645580618768E-3"/>
                </c:manualLayout>
              </c:layout>
              <c:dLblPos val="outEnd"/>
              <c:showVal val="1"/>
            </c:dLbl>
            <c:dLbl>
              <c:idx val="2"/>
              <c:layout>
                <c:manualLayout>
                  <c:x val="1.6172349221110964E-3"/>
                  <c:y val="-5.9985616204754127E-3"/>
                </c:manualLayout>
              </c:layout>
              <c:dLblPos val="outEnd"/>
              <c:showVal val="1"/>
            </c:dLbl>
            <c:dLbl>
              <c:idx val="3"/>
              <c:layout>
                <c:manualLayout>
                  <c:x val="3.7884242457697586E-3"/>
                  <c:y val="-1.2248208715054606E-3"/>
                </c:manualLayout>
              </c:layout>
              <c:dLblPos val="outEnd"/>
              <c:showVal val="1"/>
            </c:dLbl>
            <c:dLbl>
              <c:idx val="4"/>
              <c:layout>
                <c:manualLayout>
                  <c:x val="9.9554593429937235E-3"/>
                  <c:y val="-8.2669751026884328E-4"/>
                </c:manualLayout>
              </c:layout>
              <c:dLblPos val="outEnd"/>
              <c:showVal val="1"/>
            </c:dLbl>
            <c:dLbl>
              <c:idx val="5"/>
              <c:layout>
                <c:manualLayout>
                  <c:x val="-9.8182268159408247E-3"/>
                  <c:y val="-1.0784915043514321E-2"/>
                </c:manualLayout>
              </c:layout>
              <c:dLblPos val="outEnd"/>
              <c:showVal val="1"/>
            </c:dLbl>
            <c:dLbl>
              <c:idx val="6"/>
              <c:layout>
                <c:manualLayout>
                  <c:x val="-6.3424578131208824E-3"/>
                  <c:y val="5.8431643412995334E-3"/>
                </c:manualLayout>
              </c:layout>
              <c:dLblPos val="outEnd"/>
              <c:showVal val="1"/>
            </c:dLbl>
            <c:dLbl>
              <c:idx val="7"/>
              <c:layout>
                <c:manualLayout>
                  <c:xMode val="edge"/>
                  <c:yMode val="edge"/>
                  <c:x val="0.68486435336581364"/>
                  <c:y val="0.40701893852432308"/>
                </c:manualLayout>
              </c:layout>
              <c:dLblPos val="outEnd"/>
              <c:showVal val="1"/>
            </c:dLbl>
            <c:dLbl>
              <c:idx val="8"/>
              <c:layout>
                <c:manualLayout>
                  <c:xMode val="edge"/>
                  <c:yMode val="edge"/>
                  <c:x val="0.77667587899820212"/>
                  <c:y val="0.59298448802250558"/>
                </c:manualLayout>
              </c:layout>
              <c:dLblPos val="outEnd"/>
              <c:showVal val="1"/>
            </c:dLbl>
            <c:dLbl>
              <c:idx val="9"/>
              <c:layout>
                <c:manualLayout>
                  <c:xMode val="edge"/>
                  <c:yMode val="edge"/>
                  <c:x val="0.93052221924702749"/>
                  <c:y val="0.73684463008714562"/>
                </c:manualLayout>
              </c:layout>
              <c:dLblPos val="outEnd"/>
              <c:showVal val="1"/>
            </c:dLbl>
            <c:dLbl>
              <c:idx val="10"/>
              <c:layout>
                <c:manualLayout>
                  <c:xMode val="edge"/>
                  <c:yMode val="edge"/>
                  <c:x val="0.93300361183168701"/>
                  <c:y val="1.7543919763979503E-2"/>
                </c:manualLayout>
              </c:layout>
              <c:dLblPos val="outEnd"/>
              <c:showVal val="1"/>
            </c:dLbl>
            <c:dLbl>
              <c:idx val="11"/>
              <c:dLblPos val="outEnd"/>
              <c:showVal val="1"/>
            </c:dLbl>
            <c:dLbl>
              <c:idx val="12"/>
              <c:layout>
                <c:manualLayout>
                  <c:xMode val="edge"/>
                  <c:yMode val="edge"/>
                  <c:x val="0.42928091714596833"/>
                  <c:y val="0.28070271622367132"/>
                </c:manualLayout>
              </c:layout>
              <c:dLblPos val="outEnd"/>
              <c:showVal val="1"/>
            </c:dLbl>
            <c:dLbl>
              <c:idx val="13"/>
              <c:layout>
                <c:manualLayout>
                  <c:xMode val="edge"/>
                  <c:yMode val="edge"/>
                  <c:x val="0.46650180591584933"/>
                  <c:y val="0.32982569156282243"/>
                </c:manualLayout>
              </c:layout>
              <c:dLblPos val="outEnd"/>
              <c:showVal val="1"/>
            </c:dLbl>
            <c:dLbl>
              <c:idx val="14"/>
              <c:layout>
                <c:manualLayout>
                  <c:xMode val="edge"/>
                  <c:yMode val="edge"/>
                  <c:x val="0.48883433917777552"/>
                  <c:y val="0.266667580412488"/>
                </c:manualLayout>
              </c:layout>
              <c:dLblPos val="outEnd"/>
              <c:showVal val="1"/>
            </c:dLbl>
            <c:dLbl>
              <c:idx val="15"/>
              <c:layout>
                <c:manualLayout>
                  <c:xMode val="edge"/>
                  <c:yMode val="edge"/>
                  <c:x val="0.55086915379423951"/>
                  <c:y val="0.27719393227087502"/>
                </c:manualLayout>
              </c:layout>
              <c:dLblPos val="outEnd"/>
              <c:showVal val="1"/>
            </c:dLbl>
            <c:dLbl>
              <c:idx val="16"/>
              <c:layout>
                <c:manualLayout>
                  <c:xMode val="edge"/>
                  <c:yMode val="edge"/>
                  <c:x val="0.54590636862492259"/>
                  <c:y val="0.33333447551561668"/>
                </c:manualLayout>
              </c:layout>
              <c:dLblPos val="outEnd"/>
              <c:showVal val="1"/>
            </c:dLbl>
            <c:dLbl>
              <c:idx val="17"/>
              <c:layout>
                <c:manualLayout>
                  <c:xMode val="edge"/>
                  <c:yMode val="edge"/>
                  <c:x val="0.61290396841071004"/>
                  <c:y val="0.26315879645969231"/>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INDICADORES'!$C$69:$AL$69</c:f>
              <c:strCache>
                <c:ptCount val="5"/>
                <c:pt idx="0">
                  <c:v>DIC 2010</c:v>
                </c:pt>
                <c:pt idx="1">
                  <c:v>DIC 2011</c:v>
                </c:pt>
                <c:pt idx="2">
                  <c:v>DIC 2012</c:v>
                </c:pt>
                <c:pt idx="3">
                  <c:v>DIC 2013</c:v>
                </c:pt>
                <c:pt idx="4">
                  <c:v>DIC 2014</c:v>
                </c:pt>
              </c:strCache>
            </c:strRef>
          </c:cat>
          <c:val>
            <c:numRef>
              <c:f>'DATOS CALCULO INDICADORES'!$C$70:$AL$70</c:f>
              <c:numCache>
                <c:formatCode>0.00%</c:formatCode>
                <c:ptCount val="5"/>
                <c:pt idx="0">
                  <c:v>6.4742433353377787E-2</c:v>
                </c:pt>
                <c:pt idx="1">
                  <c:v>3.0252177068214998E-2</c:v>
                </c:pt>
                <c:pt idx="2">
                  <c:v>3.3787191124558712E-2</c:v>
                </c:pt>
                <c:pt idx="3">
                  <c:v>2.3243301409663401E-2</c:v>
                </c:pt>
                <c:pt idx="4">
                  <c:v>3.5408096574526343E-2</c:v>
                </c:pt>
              </c:numCache>
            </c:numRef>
          </c:val>
        </c:ser>
        <c:gapWidth val="50"/>
        <c:axId val="166455168"/>
        <c:axId val="166456704"/>
      </c:barChart>
      <c:lineChart>
        <c:grouping val="standard"/>
        <c:ser>
          <c:idx val="1"/>
          <c:order val="1"/>
          <c:tx>
            <c:strRef>
              <c:f>'DATOS CALCULO INDICADORES'!$B$71</c:f>
              <c:strCache>
                <c:ptCount val="1"/>
                <c:pt idx="0">
                  <c:v>EXCELENTE</c:v>
                </c:pt>
              </c:strCache>
            </c:strRef>
          </c:tx>
          <c:spPr>
            <a:ln w="25400">
              <a:solidFill>
                <a:srgbClr val="008000"/>
              </a:solidFill>
              <a:prstDash val="solid"/>
            </a:ln>
          </c:spPr>
          <c:marker>
            <c:symbol val="none"/>
          </c:marker>
          <c:cat>
            <c:strRef>
              <c:f>'DATOS CALCULO INDICADORES'!$C$69:$AL$69</c:f>
              <c:strCache>
                <c:ptCount val="5"/>
                <c:pt idx="0">
                  <c:v>DIC 2010</c:v>
                </c:pt>
                <c:pt idx="1">
                  <c:v>DIC 2011</c:v>
                </c:pt>
                <c:pt idx="2">
                  <c:v>DIC 2012</c:v>
                </c:pt>
                <c:pt idx="3">
                  <c:v>DIC 2013</c:v>
                </c:pt>
                <c:pt idx="4">
                  <c:v>DIC 2014</c:v>
                </c:pt>
              </c:strCache>
            </c:strRef>
          </c:cat>
          <c:val>
            <c:numRef>
              <c:f>'DATOS CALCULO INDICADORES'!$C$71:$AL$71</c:f>
              <c:numCache>
                <c:formatCode>0.00%</c:formatCode>
                <c:ptCount val="5"/>
                <c:pt idx="0">
                  <c:v>2.4241176798955818E-2</c:v>
                </c:pt>
                <c:pt idx="1">
                  <c:v>2.4241176798955818E-2</c:v>
                </c:pt>
                <c:pt idx="2">
                  <c:v>2.4241176798955818E-2</c:v>
                </c:pt>
                <c:pt idx="3">
                  <c:v>2.4241176798955818E-2</c:v>
                </c:pt>
                <c:pt idx="4">
                  <c:v>2.4241176798955818E-2</c:v>
                </c:pt>
              </c:numCache>
            </c:numRef>
          </c:val>
        </c:ser>
        <c:ser>
          <c:idx val="2"/>
          <c:order val="2"/>
          <c:tx>
            <c:strRef>
              <c:f>'DATOS CALCULO INDICADORES'!$B$72</c:f>
              <c:strCache>
                <c:ptCount val="1"/>
                <c:pt idx="0">
                  <c:v>REGULAR</c:v>
                </c:pt>
              </c:strCache>
            </c:strRef>
          </c:tx>
          <c:spPr>
            <a:ln w="25400">
              <a:solidFill>
                <a:srgbClr val="3366FF"/>
              </a:solidFill>
              <a:prstDash val="solid"/>
            </a:ln>
          </c:spPr>
          <c:marker>
            <c:symbol val="none"/>
          </c:marker>
          <c:cat>
            <c:strRef>
              <c:f>'DATOS CALCULO INDICADORES'!$C$69:$AL$69</c:f>
              <c:strCache>
                <c:ptCount val="5"/>
                <c:pt idx="0">
                  <c:v>DIC 2010</c:v>
                </c:pt>
                <c:pt idx="1">
                  <c:v>DIC 2011</c:v>
                </c:pt>
                <c:pt idx="2">
                  <c:v>DIC 2012</c:v>
                </c:pt>
                <c:pt idx="3">
                  <c:v>DIC 2013</c:v>
                </c:pt>
                <c:pt idx="4">
                  <c:v>DIC 2014</c:v>
                </c:pt>
              </c:strCache>
            </c:strRef>
          </c:cat>
          <c:val>
            <c:numRef>
              <c:f>'DATOS CALCULO INDICADORES'!$C$72:$AL$72</c:f>
              <c:numCache>
                <c:formatCode>0.00%</c:formatCode>
                <c:ptCount val="5"/>
                <c:pt idx="0">
                  <c:v>3.2321569065274405E-2</c:v>
                </c:pt>
                <c:pt idx="1">
                  <c:v>3.2321569065274405E-2</c:v>
                </c:pt>
                <c:pt idx="2">
                  <c:v>3.2321569065274405E-2</c:v>
                </c:pt>
                <c:pt idx="3">
                  <c:v>3.2321569065274405E-2</c:v>
                </c:pt>
                <c:pt idx="4">
                  <c:v>3.2321569065274405E-2</c:v>
                </c:pt>
              </c:numCache>
            </c:numRef>
          </c:val>
        </c:ser>
        <c:ser>
          <c:idx val="3"/>
          <c:order val="3"/>
          <c:tx>
            <c:strRef>
              <c:f>'DATOS CALCULO INDICADORES'!$B$73</c:f>
              <c:strCache>
                <c:ptCount val="1"/>
                <c:pt idx="0">
                  <c:v>DEFICIENTE</c:v>
                </c:pt>
              </c:strCache>
            </c:strRef>
          </c:tx>
          <c:spPr>
            <a:ln w="25400">
              <a:solidFill>
                <a:srgbClr val="FF0000"/>
              </a:solidFill>
              <a:prstDash val="solid"/>
            </a:ln>
          </c:spPr>
          <c:marker>
            <c:symbol val="none"/>
          </c:marker>
          <c:cat>
            <c:strRef>
              <c:f>'DATOS CALCULO INDICADORES'!$C$69:$AL$69</c:f>
              <c:strCache>
                <c:ptCount val="5"/>
                <c:pt idx="0">
                  <c:v>DIC 2010</c:v>
                </c:pt>
                <c:pt idx="1">
                  <c:v>DIC 2011</c:v>
                </c:pt>
                <c:pt idx="2">
                  <c:v>DIC 2012</c:v>
                </c:pt>
                <c:pt idx="3">
                  <c:v>DIC 2013</c:v>
                </c:pt>
                <c:pt idx="4">
                  <c:v>DIC 2014</c:v>
                </c:pt>
              </c:strCache>
            </c:strRef>
          </c:cat>
          <c:val>
            <c:numRef>
              <c:f>'DATOS CALCULO INDICADORES'!$C$73:$AL$73</c:f>
              <c:numCache>
                <c:formatCode>0.00%</c:formatCode>
                <c:ptCount val="5"/>
                <c:pt idx="0">
                  <c:v>4.0401961331592802E-2</c:v>
                </c:pt>
                <c:pt idx="1">
                  <c:v>4.0401961331592802E-2</c:v>
                </c:pt>
                <c:pt idx="2">
                  <c:v>4.0401961331592802E-2</c:v>
                </c:pt>
                <c:pt idx="3">
                  <c:v>4.0401961331592802E-2</c:v>
                </c:pt>
                <c:pt idx="4">
                  <c:v>4.0401961331592802E-2</c:v>
                </c:pt>
              </c:numCache>
            </c:numRef>
          </c:val>
        </c:ser>
        <c:marker val="1"/>
        <c:axId val="166455168"/>
        <c:axId val="166456704"/>
      </c:lineChart>
      <c:catAx>
        <c:axId val="166455168"/>
        <c:scaling>
          <c:orientation val="minMax"/>
        </c:scaling>
        <c:axPos val="b"/>
        <c:numFmt formatCode="@" sourceLinked="1"/>
        <c:tickLblPos val="nextTo"/>
        <c:spPr>
          <a:ln w="3175">
            <a:solidFill>
              <a:srgbClr val="000000"/>
            </a:solidFill>
            <a:prstDash val="solid"/>
          </a:ln>
        </c:spPr>
        <c:txPr>
          <a:bodyPr rot="0" vert="horz"/>
          <a:lstStyle/>
          <a:p>
            <a:pPr>
              <a:defRPr lang="es-ES" sz="850" b="1" i="0" u="none" strike="noStrike" baseline="0">
                <a:solidFill>
                  <a:srgbClr val="000000"/>
                </a:solidFill>
                <a:latin typeface="Arial"/>
                <a:ea typeface="Arial"/>
                <a:cs typeface="Arial"/>
              </a:defRPr>
            </a:pPr>
            <a:endParaRPr lang="es-ES"/>
          </a:p>
        </c:txPr>
        <c:crossAx val="166456704"/>
        <c:crosses val="autoZero"/>
        <c:auto val="1"/>
        <c:lblAlgn val="ctr"/>
        <c:lblOffset val="100"/>
        <c:tickLblSkip val="1"/>
        <c:tickMarkSkip val="1"/>
      </c:catAx>
      <c:valAx>
        <c:axId val="166456704"/>
        <c:scaling>
          <c:orientation val="minMax"/>
          <c:max val="0.13"/>
          <c:min val="0"/>
        </c:scaling>
        <c:axPos val="l"/>
        <c:numFmt formatCode="0%" sourceLinked="0"/>
        <c:tickLblPos val="nextTo"/>
        <c:spPr>
          <a:ln w="3175">
            <a:solidFill>
              <a:srgbClr val="000000"/>
            </a:solidFill>
            <a:prstDash val="solid"/>
          </a:ln>
        </c:spPr>
        <c:txPr>
          <a:bodyPr rot="0" vert="horz"/>
          <a:lstStyle/>
          <a:p>
            <a:pPr>
              <a:defRPr lang="es-ES" sz="850" b="0" i="0" u="none" strike="noStrike" baseline="0">
                <a:solidFill>
                  <a:srgbClr val="000000"/>
                </a:solidFill>
                <a:latin typeface="Arial"/>
                <a:ea typeface="Arial"/>
                <a:cs typeface="Arial"/>
              </a:defRPr>
            </a:pPr>
            <a:endParaRPr lang="es-ES"/>
          </a:p>
        </c:txPr>
        <c:crossAx val="166455168"/>
        <c:crosses val="autoZero"/>
        <c:crossBetween val="between"/>
        <c:majorUnit val="2.0000000000000011E-2"/>
        <c:minorUnit val="1.0000000000000005E-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10421862279622029"/>
          <c:y val="2.2222222222222202E-2"/>
          <c:w val="0.82630373069136098"/>
          <c:h val="0.21052703716775473"/>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1638968368384785"/>
          <c:y val="0.22972972972972988"/>
          <c:w val="0.86698437846132104"/>
          <c:h val="0.65540540540541303"/>
        </c:manualLayout>
      </c:layout>
      <c:barChart>
        <c:barDir val="col"/>
        <c:grouping val="clustered"/>
        <c:ser>
          <c:idx val="0"/>
          <c:order val="0"/>
          <c:tx>
            <c:strRef>
              <c:f>'DATOS CALCULO INDICADORES'!$B$75</c:f>
              <c:strCache>
                <c:ptCount val="1"/>
                <c:pt idx="0">
                  <c:v>provision/cartera vencida</c:v>
                </c:pt>
              </c:strCache>
            </c:strRef>
          </c:tx>
          <c:spPr>
            <a:solidFill>
              <a:srgbClr val="FF9900"/>
            </a:solidFill>
            <a:ln w="12700">
              <a:solidFill>
                <a:srgbClr val="000000"/>
              </a:solidFill>
              <a:prstDash val="solid"/>
            </a:ln>
          </c:spPr>
          <c:dLbls>
            <c:dLbl>
              <c:idx val="0"/>
              <c:layout>
                <c:manualLayout>
                  <c:x val="3.2148667341376802E-3"/>
                  <c:y val="-6.8987018514577572E-2"/>
                </c:manualLayout>
              </c:layout>
              <c:dLblPos val="outEnd"/>
              <c:showVal val="1"/>
            </c:dLbl>
            <c:dLbl>
              <c:idx val="1"/>
              <c:layout>
                <c:manualLayout>
                  <c:x val="1.0816026225553501E-2"/>
                  <c:y val="-4.9226785840959103E-2"/>
                </c:manualLayout>
              </c:layout>
              <c:dLblPos val="outEnd"/>
              <c:showVal val="1"/>
            </c:dLbl>
            <c:dLbl>
              <c:idx val="2"/>
              <c:layout>
                <c:manualLayout>
                  <c:x val="4.2658853689799469E-3"/>
                  <c:y val="2.8940977891020255E-3"/>
                </c:manualLayout>
              </c:layout>
              <c:dLblPos val="outEnd"/>
              <c:showVal val="1"/>
            </c:dLbl>
            <c:dLbl>
              <c:idx val="3"/>
              <c:layout>
                <c:manualLayout>
                  <c:x val="8.0250982067268228E-3"/>
                  <c:y val="-1.9465134425762625E-3"/>
                </c:manualLayout>
              </c:layout>
              <c:dLblPos val="outEnd"/>
              <c:showVal val="1"/>
            </c:dLbl>
            <c:dLbl>
              <c:idx val="4"/>
              <c:layout>
                <c:manualLayout>
                  <c:x val="-3.7165354330708587E-3"/>
                  <c:y val="-2.1452366040920611E-2"/>
                </c:manualLayout>
              </c:layout>
              <c:dLblPos val="outEnd"/>
              <c:showVal val="1"/>
            </c:dLbl>
            <c:dLbl>
              <c:idx val="5"/>
              <c:layout>
                <c:manualLayout>
                  <c:x val="-6.6276394785567475E-3"/>
                  <c:y val="-1.7855217422146498E-2"/>
                </c:manualLayout>
              </c:layout>
              <c:dLblPos val="outEnd"/>
              <c:showVal val="1"/>
            </c:dLbl>
            <c:dLbl>
              <c:idx val="6"/>
              <c:layout>
                <c:manualLayout>
                  <c:x val="1.0109163907955599E-2"/>
                  <c:y val="-4.7318578420941192E-3"/>
                </c:manualLayout>
              </c:layout>
              <c:dLblPos val="outEnd"/>
              <c:showVal val="1"/>
            </c:dLbl>
            <c:dLbl>
              <c:idx val="7"/>
              <c:layout>
                <c:manualLayout>
                  <c:xMode val="edge"/>
                  <c:yMode val="edge"/>
                  <c:x val="0.70308870143712598"/>
                  <c:y val="0.68243243243243301"/>
                </c:manualLayout>
              </c:layout>
              <c:dLblPos val="outEnd"/>
              <c:showVal val="1"/>
            </c:dLbl>
            <c:dLbl>
              <c:idx val="8"/>
              <c:layout>
                <c:manualLayout>
                  <c:xMode val="edge"/>
                  <c:yMode val="edge"/>
                  <c:x val="0.80047598778483597"/>
                  <c:y val="0.51351351351351404"/>
                </c:manualLayout>
              </c:layout>
              <c:dLblPos val="outEnd"/>
              <c:showVal val="1"/>
            </c:dLbl>
            <c:dLbl>
              <c:idx val="9"/>
              <c:layout>
                <c:manualLayout>
                  <c:xMode val="edge"/>
                  <c:yMode val="edge"/>
                  <c:x val="0.93824336847183998"/>
                  <c:y val="0.7702702702702785"/>
                </c:manualLayout>
              </c:layout>
              <c:dLblPos val="outEnd"/>
              <c:showVal val="1"/>
            </c:dLbl>
            <c:dLbl>
              <c:idx val="10"/>
              <c:layout>
                <c:manualLayout>
                  <c:xMode val="edge"/>
                  <c:yMode val="edge"/>
                  <c:x val="0.89311267479851097"/>
                  <c:y val="1.68918918918919E-2"/>
                </c:manualLayout>
              </c:layout>
              <c:dLblPos val="outEnd"/>
              <c:showVal val="1"/>
            </c:dLbl>
            <c:dLbl>
              <c:idx val="11"/>
              <c:layout>
                <c:manualLayout>
                  <c:xMode val="edge"/>
                  <c:yMode val="edge"/>
                  <c:x val="0.97149756381008301"/>
                  <c:y val="1.68918918918919E-2"/>
                </c:manualLayout>
              </c:layout>
              <c:dLblPos val="outEnd"/>
              <c:showVal val="1"/>
            </c:dLbl>
            <c:dLbl>
              <c:idx val="12"/>
              <c:layout>
                <c:manualLayout>
                  <c:xMode val="edge"/>
                  <c:yMode val="edge"/>
                  <c:x val="0.41092684239399951"/>
                  <c:y val="0.27027027027027334"/>
                </c:manualLayout>
              </c:layout>
              <c:dLblPos val="outEnd"/>
              <c:showVal val="1"/>
            </c:dLbl>
            <c:dLbl>
              <c:idx val="13"/>
              <c:layout>
                <c:manualLayout>
                  <c:xMode val="edge"/>
                  <c:yMode val="edge"/>
                  <c:x val="0.44655633739926104"/>
                  <c:y val="0.31756756756757304"/>
                </c:manualLayout>
              </c:layout>
              <c:dLblPos val="outEnd"/>
              <c:showVal val="1"/>
            </c:dLbl>
            <c:dLbl>
              <c:idx val="14"/>
              <c:layout>
                <c:manualLayout>
                  <c:xMode val="edge"/>
                  <c:yMode val="edge"/>
                  <c:x val="0.46793403440241099"/>
                  <c:y val="0.25675675675675674"/>
                </c:manualLayout>
              </c:layout>
              <c:dLblPos val="outEnd"/>
              <c:showVal val="1"/>
            </c:dLbl>
            <c:dLbl>
              <c:idx val="15"/>
              <c:layout>
                <c:manualLayout>
                  <c:xMode val="edge"/>
                  <c:yMode val="edge"/>
                  <c:x val="0.52731652607783697"/>
                  <c:y val="0.26689189189189338"/>
                </c:manualLayout>
              </c:layout>
              <c:dLblPos val="outEnd"/>
              <c:showVal val="1"/>
            </c:dLbl>
            <c:dLbl>
              <c:idx val="16"/>
              <c:layout>
                <c:manualLayout>
                  <c:xMode val="edge"/>
                  <c:yMode val="edge"/>
                  <c:x val="0.52256592674380997"/>
                  <c:y val="0.32094594594595116"/>
                </c:manualLayout>
              </c:layout>
              <c:dLblPos val="outEnd"/>
              <c:showVal val="1"/>
            </c:dLbl>
            <c:dLbl>
              <c:idx val="17"/>
              <c:layout>
                <c:manualLayout>
                  <c:xMode val="edge"/>
                  <c:yMode val="edge"/>
                  <c:x val="0.58669901775328503"/>
                  <c:y val="0.25337837837838134"/>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INDICADORES'!$C$74:$AL$74</c:f>
              <c:strCache>
                <c:ptCount val="5"/>
                <c:pt idx="0">
                  <c:v>DIC 2010</c:v>
                </c:pt>
                <c:pt idx="1">
                  <c:v>DIC 2011</c:v>
                </c:pt>
                <c:pt idx="2">
                  <c:v>DIC 2012</c:v>
                </c:pt>
                <c:pt idx="3">
                  <c:v>DIC 2013</c:v>
                </c:pt>
                <c:pt idx="4">
                  <c:v>DIC 2014</c:v>
                </c:pt>
              </c:strCache>
            </c:strRef>
          </c:cat>
          <c:val>
            <c:numRef>
              <c:f>'DATOS CALCULO INDICADORES'!$C$75:$AL$75</c:f>
              <c:numCache>
                <c:formatCode>0.00%</c:formatCode>
                <c:ptCount val="5"/>
                <c:pt idx="0">
                  <c:v>0.91563467492260098</c:v>
                </c:pt>
                <c:pt idx="1">
                  <c:v>1.3778110944527739</c:v>
                </c:pt>
                <c:pt idx="2">
                  <c:v>1.0552238805970138</c:v>
                </c:pt>
                <c:pt idx="3">
                  <c:v>1.1018518518518521</c:v>
                </c:pt>
                <c:pt idx="4">
                  <c:v>0.53311617806731448</c:v>
                </c:pt>
              </c:numCache>
            </c:numRef>
          </c:val>
        </c:ser>
        <c:gapWidth val="50"/>
        <c:axId val="166079488"/>
        <c:axId val="166105856"/>
      </c:barChart>
      <c:lineChart>
        <c:grouping val="standard"/>
        <c:ser>
          <c:idx val="1"/>
          <c:order val="1"/>
          <c:tx>
            <c:strRef>
              <c:f>'DATOS CALCULO INDICADORES'!$B$76</c:f>
              <c:strCache>
                <c:ptCount val="1"/>
                <c:pt idx="0">
                  <c:v>EXCELENTE</c:v>
                </c:pt>
              </c:strCache>
            </c:strRef>
          </c:tx>
          <c:spPr>
            <a:ln w="25400">
              <a:solidFill>
                <a:srgbClr val="008000"/>
              </a:solidFill>
              <a:prstDash val="solid"/>
            </a:ln>
          </c:spPr>
          <c:marker>
            <c:symbol val="none"/>
          </c:marker>
          <c:cat>
            <c:strRef>
              <c:f>'DATOS CALCULO INDICADORES'!$C$74:$AL$74</c:f>
              <c:strCache>
                <c:ptCount val="5"/>
                <c:pt idx="0">
                  <c:v>DIC 2010</c:v>
                </c:pt>
                <c:pt idx="1">
                  <c:v>DIC 2011</c:v>
                </c:pt>
                <c:pt idx="2">
                  <c:v>DIC 2012</c:v>
                </c:pt>
                <c:pt idx="3">
                  <c:v>DIC 2013</c:v>
                </c:pt>
                <c:pt idx="4">
                  <c:v>DIC 2014</c:v>
                </c:pt>
              </c:strCache>
            </c:strRef>
          </c:cat>
          <c:val>
            <c:numRef>
              <c:f>'DATOS CALCULO INDICADORES'!$C$76:$AL$76</c:f>
              <c:numCache>
                <c:formatCode>0.00%</c:formatCode>
                <c:ptCount val="5"/>
                <c:pt idx="0">
                  <c:v>1</c:v>
                </c:pt>
                <c:pt idx="1">
                  <c:v>1</c:v>
                </c:pt>
                <c:pt idx="2">
                  <c:v>1</c:v>
                </c:pt>
                <c:pt idx="3">
                  <c:v>1</c:v>
                </c:pt>
                <c:pt idx="4">
                  <c:v>1</c:v>
                </c:pt>
              </c:numCache>
            </c:numRef>
          </c:val>
        </c:ser>
        <c:ser>
          <c:idx val="2"/>
          <c:order val="2"/>
          <c:tx>
            <c:strRef>
              <c:f>'DATOS CALCULO INDICADORES'!$B$77</c:f>
              <c:strCache>
                <c:ptCount val="1"/>
                <c:pt idx="0">
                  <c:v>REGULAR</c:v>
                </c:pt>
              </c:strCache>
            </c:strRef>
          </c:tx>
          <c:spPr>
            <a:ln w="25400">
              <a:solidFill>
                <a:srgbClr val="000080"/>
              </a:solidFill>
              <a:prstDash val="solid"/>
            </a:ln>
          </c:spPr>
          <c:marker>
            <c:symbol val="none"/>
          </c:marker>
          <c:cat>
            <c:strRef>
              <c:f>'DATOS CALCULO INDICADORES'!$C$74:$AL$74</c:f>
              <c:strCache>
                <c:ptCount val="5"/>
                <c:pt idx="0">
                  <c:v>DIC 2010</c:v>
                </c:pt>
                <c:pt idx="1">
                  <c:v>DIC 2011</c:v>
                </c:pt>
                <c:pt idx="2">
                  <c:v>DIC 2012</c:v>
                </c:pt>
                <c:pt idx="3">
                  <c:v>DIC 2013</c:v>
                </c:pt>
                <c:pt idx="4">
                  <c:v>DIC 2014</c:v>
                </c:pt>
              </c:strCache>
            </c:strRef>
          </c:cat>
          <c:val>
            <c:numRef>
              <c:f>'DATOS CALCULO INDICADORES'!$C$77:$AL$77</c:f>
              <c:numCache>
                <c:formatCode>0.00%</c:formatCode>
                <c:ptCount val="5"/>
                <c:pt idx="0">
                  <c:v>0.8</c:v>
                </c:pt>
                <c:pt idx="1">
                  <c:v>0.8</c:v>
                </c:pt>
                <c:pt idx="2">
                  <c:v>0.8</c:v>
                </c:pt>
                <c:pt idx="3">
                  <c:v>0.8</c:v>
                </c:pt>
                <c:pt idx="4">
                  <c:v>0.8</c:v>
                </c:pt>
              </c:numCache>
            </c:numRef>
          </c:val>
        </c:ser>
        <c:ser>
          <c:idx val="3"/>
          <c:order val="3"/>
          <c:tx>
            <c:strRef>
              <c:f>'DATOS CALCULO INDICADORES'!$B$78</c:f>
              <c:strCache>
                <c:ptCount val="1"/>
                <c:pt idx="0">
                  <c:v>DEFICIENTE</c:v>
                </c:pt>
              </c:strCache>
            </c:strRef>
          </c:tx>
          <c:spPr>
            <a:ln w="25400">
              <a:solidFill>
                <a:srgbClr val="FF0000"/>
              </a:solidFill>
              <a:prstDash val="solid"/>
            </a:ln>
          </c:spPr>
          <c:marker>
            <c:symbol val="none"/>
          </c:marker>
          <c:cat>
            <c:strRef>
              <c:f>'DATOS CALCULO INDICADORES'!$C$74:$AL$74</c:f>
              <c:strCache>
                <c:ptCount val="5"/>
                <c:pt idx="0">
                  <c:v>DIC 2010</c:v>
                </c:pt>
                <c:pt idx="1">
                  <c:v>DIC 2011</c:v>
                </c:pt>
                <c:pt idx="2">
                  <c:v>DIC 2012</c:v>
                </c:pt>
                <c:pt idx="3">
                  <c:v>DIC 2013</c:v>
                </c:pt>
                <c:pt idx="4">
                  <c:v>DIC 2014</c:v>
                </c:pt>
              </c:strCache>
            </c:strRef>
          </c:cat>
          <c:val>
            <c:numRef>
              <c:f>'DATOS CALCULO INDICADORES'!$C$78:$AL$78</c:f>
              <c:numCache>
                <c:formatCode>0.00%</c:formatCode>
                <c:ptCount val="5"/>
                <c:pt idx="0">
                  <c:v>0.60000000000000064</c:v>
                </c:pt>
                <c:pt idx="1">
                  <c:v>0.60000000000000064</c:v>
                </c:pt>
                <c:pt idx="2">
                  <c:v>0.60000000000000064</c:v>
                </c:pt>
                <c:pt idx="3">
                  <c:v>0.60000000000000064</c:v>
                </c:pt>
                <c:pt idx="4">
                  <c:v>0.60000000000000064</c:v>
                </c:pt>
              </c:numCache>
            </c:numRef>
          </c:val>
        </c:ser>
        <c:marker val="1"/>
        <c:axId val="166079488"/>
        <c:axId val="166105856"/>
      </c:lineChart>
      <c:catAx>
        <c:axId val="166079488"/>
        <c:scaling>
          <c:orientation val="minMax"/>
        </c:scaling>
        <c:axPos val="b"/>
        <c:numFmt formatCode="@"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Arial"/>
                <a:ea typeface="Arial"/>
                <a:cs typeface="Arial"/>
              </a:defRPr>
            </a:pPr>
            <a:endParaRPr lang="es-ES"/>
          </a:p>
        </c:txPr>
        <c:crossAx val="166105856"/>
        <c:crosses val="autoZero"/>
        <c:auto val="1"/>
        <c:lblAlgn val="ctr"/>
        <c:lblOffset val="100"/>
        <c:tickLblSkip val="1"/>
        <c:tickMarkSkip val="1"/>
      </c:catAx>
      <c:valAx>
        <c:axId val="166105856"/>
        <c:scaling>
          <c:orientation val="minMax"/>
          <c:max val="2"/>
          <c:min val="0.4"/>
        </c:scaling>
        <c:axPos val="l"/>
        <c:numFmt formatCode="0%" sourceLinked="0"/>
        <c:tickLblPos val="nextTo"/>
        <c:spPr>
          <a:ln w="3175">
            <a:solidFill>
              <a:srgbClr val="000000"/>
            </a:solidFill>
            <a:prstDash val="solid"/>
          </a:ln>
        </c:spPr>
        <c:txPr>
          <a:bodyPr rot="0" vert="horz"/>
          <a:lstStyle/>
          <a:p>
            <a:pPr>
              <a:defRPr lang="es-ES" sz="900" b="0" i="0" u="none" strike="noStrike" baseline="0">
                <a:solidFill>
                  <a:srgbClr val="000000"/>
                </a:solidFill>
                <a:latin typeface="Arial"/>
                <a:ea typeface="Arial"/>
                <a:cs typeface="Arial"/>
              </a:defRPr>
            </a:pPr>
            <a:endParaRPr lang="es-ES"/>
          </a:p>
        </c:txPr>
        <c:crossAx val="166079488"/>
        <c:crosses val="autoZero"/>
        <c:crossBetween val="between"/>
        <c:majorUnit val="0.4"/>
        <c:minorUnit val="3.0000000000000002E-2"/>
      </c:valAx>
      <c:spPr>
        <a:noFill/>
        <a:ln w="25400">
          <a:noFill/>
        </a:ln>
      </c:spPr>
    </c:plotArea>
    <c:legend>
      <c:legendPos val="t"/>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19952517202945497"/>
          <c:y val="1.68918918918919E-2"/>
          <c:w val="0.79097478911676256"/>
          <c:h val="0.19256756756756804"/>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es-ES"/>
  <c:roundedCorners val="1"/>
  <c:chart>
    <c:plotArea>
      <c:layout>
        <c:manualLayout>
          <c:layoutTarget val="inner"/>
          <c:xMode val="edge"/>
          <c:yMode val="edge"/>
          <c:x val="0.102941422864542"/>
          <c:y val="0.10958922435056002"/>
          <c:w val="0.879904066865969"/>
          <c:h val="0.75685058067105404"/>
        </c:manualLayout>
      </c:layout>
      <c:barChart>
        <c:barDir val="col"/>
        <c:grouping val="clustered"/>
        <c:ser>
          <c:idx val="0"/>
          <c:order val="0"/>
          <c:tx>
            <c:strRef>
              <c:f>'DATOS CALCULO INDICADORES'!$B$90</c:f>
              <c:strCache>
                <c:ptCount val="1"/>
                <c:pt idx="0">
                  <c:v>ingreso neto de interés/activos</c:v>
                </c:pt>
              </c:strCache>
            </c:strRef>
          </c:tx>
          <c:spPr>
            <a:gradFill rotWithShape="0">
              <a:gsLst>
                <a:gs pos="0">
                  <a:srgbClr val="FF00FF"/>
                </a:gs>
                <a:gs pos="100000">
                  <a:srgbClr val="FF00FF">
                    <a:gamma/>
                    <a:shade val="46275"/>
                    <a:invGamma/>
                  </a:srgbClr>
                </a:gs>
              </a:gsLst>
              <a:lin ang="5400000" scaled="1"/>
            </a:gradFill>
            <a:ln w="12700">
              <a:solidFill>
                <a:srgbClr val="000000"/>
              </a:solidFill>
              <a:prstDash val="solid"/>
            </a:ln>
            <a:effectLst>
              <a:outerShdw dist="35921" dir="2700000" algn="br">
                <a:srgbClr val="000000"/>
              </a:outerShdw>
            </a:effectLst>
          </c:spPr>
          <c:dLbls>
            <c:dLbl>
              <c:idx val="0"/>
              <c:layout>
                <c:manualLayout>
                  <c:x val="3.6341224922207612E-3"/>
                  <c:y val="-3.0750808113148499E-3"/>
                </c:manualLayout>
              </c:layout>
              <c:dLblPos val="outEnd"/>
              <c:showVal val="1"/>
            </c:dLbl>
            <c:dLbl>
              <c:idx val="1"/>
              <c:layout>
                <c:manualLayout>
                  <c:x val="-1.0406052184653399E-2"/>
                  <c:y val="9.6293442299726726E-3"/>
                </c:manualLayout>
              </c:layout>
              <c:dLblPos val="outEnd"/>
              <c:showVal val="1"/>
            </c:dLbl>
            <c:dLbl>
              <c:idx val="2"/>
              <c:layout>
                <c:manualLayout>
                  <c:x val="1.28924764767538E-2"/>
                  <c:y val="-2.1665867171576758E-2"/>
                </c:manualLayout>
              </c:layout>
              <c:dLblPos val="outEnd"/>
              <c:showVal val="1"/>
            </c:dLbl>
            <c:dLbl>
              <c:idx val="3"/>
              <c:layout>
                <c:manualLayout>
                  <c:x val="8.9708038643408067E-3"/>
                  <c:y val="-4.6128027043714118E-2"/>
                </c:manualLayout>
              </c:layout>
              <c:dLblPos val="outEnd"/>
              <c:showVal val="1"/>
            </c:dLbl>
            <c:dLbl>
              <c:idx val="4"/>
              <c:layout>
                <c:manualLayout>
                  <c:x val="2.1293608026400272E-3"/>
                  <c:y val="-1.4801991928817301E-2"/>
                </c:manualLayout>
              </c:layout>
              <c:dLblPos val="outEnd"/>
              <c:showVal val="1"/>
            </c:dLbl>
            <c:dLbl>
              <c:idx val="5"/>
              <c:layout>
                <c:manualLayout>
                  <c:x val="1.2360403478976902E-2"/>
                  <c:y val="3.5062740445115943E-3"/>
                </c:manualLayout>
              </c:layout>
              <c:dLblPos val="outEnd"/>
              <c:showVal val="1"/>
            </c:dLbl>
            <c:dLbl>
              <c:idx val="6"/>
              <c:layout>
                <c:manualLayout>
                  <c:x val="1.8853893263343364E-3"/>
                  <c:y val="1.4889080645741301E-2"/>
                </c:manualLayout>
              </c:layout>
              <c:dLblPos val="outEnd"/>
              <c:showVal val="1"/>
            </c:dLbl>
            <c:dLbl>
              <c:idx val="7"/>
              <c:layout>
                <c:manualLayout>
                  <c:xMode val="edge"/>
                  <c:yMode val="edge"/>
                  <c:x val="0.68382516617160305"/>
                  <c:y val="0.57876809110139404"/>
                </c:manualLayout>
              </c:layout>
              <c:dLblPos val="outEnd"/>
              <c:showVal val="1"/>
            </c:dLbl>
            <c:dLbl>
              <c:idx val="8"/>
              <c:layout>
                <c:manualLayout>
                  <c:xMode val="edge"/>
                  <c:yMode val="edge"/>
                  <c:x val="0.77941363026011268"/>
                  <c:y val="0.49657617283847916"/>
                </c:manualLayout>
              </c:layout>
              <c:dLblPos val="outEnd"/>
              <c:showVal val="1"/>
            </c:dLbl>
            <c:dLbl>
              <c:idx val="9"/>
              <c:layout>
                <c:manualLayout>
                  <c:xMode val="edge"/>
                  <c:yMode val="edge"/>
                  <c:x val="0.93137477829824"/>
                  <c:y val="0.72945327458342069"/>
                </c:manualLayout>
              </c:layout>
              <c:dLblPos val="outEnd"/>
              <c:showVal val="1"/>
            </c:dLbl>
            <c:dLbl>
              <c:idx val="10"/>
              <c:layout>
                <c:manualLayout>
                  <c:xMode val="edge"/>
                  <c:yMode val="edge"/>
                  <c:x val="0.92157083326353051"/>
                  <c:y val="1.7123316304775007E-2"/>
                </c:manualLayout>
              </c:layout>
              <c:dLblPos val="outEnd"/>
              <c:showVal val="1"/>
            </c:dLbl>
            <c:dLbl>
              <c:idx val="11"/>
              <c:dLblPos val="outEnd"/>
              <c:showVal val="1"/>
            </c:dLbl>
            <c:dLbl>
              <c:idx val="12"/>
              <c:layout>
                <c:manualLayout>
                  <c:xMode val="edge"/>
                  <c:yMode val="edge"/>
                  <c:x val="0.42402062275156732"/>
                  <c:y val="0.273973060876399"/>
                </c:manualLayout>
              </c:layout>
              <c:dLblPos val="outEnd"/>
              <c:showVal val="1"/>
            </c:dLbl>
            <c:dLbl>
              <c:idx val="13"/>
              <c:layout>
                <c:manualLayout>
                  <c:xMode val="edge"/>
                  <c:yMode val="edge"/>
                  <c:x val="0.46078541663176076"/>
                  <c:y val="0.32191834652977364"/>
                </c:manualLayout>
              </c:layout>
              <c:dLblPos val="outEnd"/>
              <c:showVal val="1"/>
            </c:dLbl>
            <c:dLbl>
              <c:idx val="14"/>
              <c:layout>
                <c:manualLayout>
                  <c:xMode val="edge"/>
                  <c:yMode val="edge"/>
                  <c:x val="0.48284429295988368"/>
                  <c:y val="0.26027440783258032"/>
                </c:manualLayout>
              </c:layout>
              <c:dLblPos val="outEnd"/>
              <c:showVal val="1"/>
            </c:dLbl>
            <c:dLbl>
              <c:idx val="15"/>
              <c:layout>
                <c:manualLayout>
                  <c:xMode val="edge"/>
                  <c:yMode val="edge"/>
                  <c:x val="0.54411894942686656"/>
                  <c:y val="0.27054839761544852"/>
                </c:manualLayout>
              </c:layout>
              <c:dLblPos val="outEnd"/>
              <c:showVal val="1"/>
            </c:dLbl>
            <c:dLbl>
              <c:idx val="16"/>
              <c:layout>
                <c:manualLayout>
                  <c:xMode val="edge"/>
                  <c:yMode val="edge"/>
                  <c:x val="0.53921697690950698"/>
                  <c:y val="0.32534300979072717"/>
                </c:manualLayout>
              </c:layout>
              <c:dLblPos val="outEnd"/>
              <c:showVal val="1"/>
            </c:dLbl>
            <c:dLbl>
              <c:idx val="17"/>
              <c:layout>
                <c:manualLayout>
                  <c:xMode val="edge"/>
                  <c:yMode val="edge"/>
                  <c:x val="0.60539360589385605"/>
                  <c:y val="0.25684974457162379"/>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cat>
            <c:strRef>
              <c:f>'DATOS CALCULO INDICADORES'!$C$89:$AL$89</c:f>
              <c:strCache>
                <c:ptCount val="5"/>
                <c:pt idx="0">
                  <c:v>DIC 2010</c:v>
                </c:pt>
                <c:pt idx="1">
                  <c:v>DIC 2011</c:v>
                </c:pt>
                <c:pt idx="2">
                  <c:v>DIC 2012</c:v>
                </c:pt>
                <c:pt idx="3">
                  <c:v>DIC 2013</c:v>
                </c:pt>
                <c:pt idx="4">
                  <c:v>DIC 2014</c:v>
                </c:pt>
              </c:strCache>
            </c:strRef>
          </c:cat>
          <c:val>
            <c:numRef>
              <c:f>'DATOS CALCULO INDICADORES'!$C$90:$AL$90</c:f>
              <c:numCache>
                <c:formatCode>0.00%</c:formatCode>
                <c:ptCount val="5"/>
                <c:pt idx="0">
                  <c:v>3.9212447060943852E-2</c:v>
                </c:pt>
                <c:pt idx="1">
                  <c:v>4.7373613913146422E-2</c:v>
                </c:pt>
                <c:pt idx="2">
                  <c:v>4.0327551289953321E-2</c:v>
                </c:pt>
                <c:pt idx="3">
                  <c:v>3.6625762757325979E-2</c:v>
                </c:pt>
                <c:pt idx="4">
                  <c:v>4.1305603697284796E-2</c:v>
                </c:pt>
              </c:numCache>
            </c:numRef>
          </c:val>
        </c:ser>
        <c:gapWidth val="50"/>
        <c:axId val="166161792"/>
        <c:axId val="166528128"/>
      </c:barChart>
      <c:lineChart>
        <c:grouping val="standard"/>
        <c:ser>
          <c:idx val="1"/>
          <c:order val="1"/>
          <c:tx>
            <c:strRef>
              <c:f>'DATOS CALCULO INDICADORES'!$B$91</c:f>
              <c:strCache>
                <c:ptCount val="1"/>
                <c:pt idx="0">
                  <c:v>EXCELENTE</c:v>
                </c:pt>
              </c:strCache>
            </c:strRef>
          </c:tx>
          <c:spPr>
            <a:ln w="25400">
              <a:solidFill>
                <a:srgbClr val="008000"/>
              </a:solidFill>
              <a:prstDash val="solid"/>
            </a:ln>
          </c:spPr>
          <c:marker>
            <c:symbol val="none"/>
          </c:marker>
          <c:cat>
            <c:strRef>
              <c:f>'DATOS CALCULO INDICADORES'!$C$89:$AL$89</c:f>
              <c:strCache>
                <c:ptCount val="5"/>
                <c:pt idx="0">
                  <c:v>DIC 2010</c:v>
                </c:pt>
                <c:pt idx="1">
                  <c:v>DIC 2011</c:v>
                </c:pt>
                <c:pt idx="2">
                  <c:v>DIC 2012</c:v>
                </c:pt>
                <c:pt idx="3">
                  <c:v>DIC 2013</c:v>
                </c:pt>
                <c:pt idx="4">
                  <c:v>DIC 2014</c:v>
                </c:pt>
              </c:strCache>
            </c:strRef>
          </c:cat>
          <c:val>
            <c:numRef>
              <c:f>'DATOS CALCULO INDICADORES'!$C$91:$AL$91</c:f>
              <c:numCache>
                <c:formatCode>0.00%</c:formatCode>
                <c:ptCount val="5"/>
                <c:pt idx="0">
                  <c:v>0.05</c:v>
                </c:pt>
                <c:pt idx="1">
                  <c:v>0.05</c:v>
                </c:pt>
                <c:pt idx="2">
                  <c:v>2.5000000000000012E-2</c:v>
                </c:pt>
                <c:pt idx="3">
                  <c:v>2.5000000000000012E-2</c:v>
                </c:pt>
                <c:pt idx="4">
                  <c:v>2.5000000000000012E-2</c:v>
                </c:pt>
              </c:numCache>
            </c:numRef>
          </c:val>
        </c:ser>
        <c:ser>
          <c:idx val="2"/>
          <c:order val="2"/>
          <c:tx>
            <c:strRef>
              <c:f>'DATOS CALCULO INDICADORES'!$B$92</c:f>
              <c:strCache>
                <c:ptCount val="1"/>
                <c:pt idx="0">
                  <c:v>REGULAR</c:v>
                </c:pt>
              </c:strCache>
            </c:strRef>
          </c:tx>
          <c:spPr>
            <a:ln w="25400">
              <a:solidFill>
                <a:srgbClr val="000080"/>
              </a:solidFill>
              <a:prstDash val="solid"/>
            </a:ln>
          </c:spPr>
          <c:marker>
            <c:symbol val="none"/>
          </c:marker>
          <c:cat>
            <c:strRef>
              <c:f>'DATOS CALCULO INDICADORES'!$C$89:$AL$89</c:f>
              <c:strCache>
                <c:ptCount val="5"/>
                <c:pt idx="0">
                  <c:v>DIC 2010</c:v>
                </c:pt>
                <c:pt idx="1">
                  <c:v>DIC 2011</c:v>
                </c:pt>
                <c:pt idx="2">
                  <c:v>DIC 2012</c:v>
                </c:pt>
                <c:pt idx="3">
                  <c:v>DIC 2013</c:v>
                </c:pt>
                <c:pt idx="4">
                  <c:v>DIC 2014</c:v>
                </c:pt>
              </c:strCache>
            </c:strRef>
          </c:cat>
          <c:val>
            <c:numRef>
              <c:f>'DATOS CALCULO INDICADORES'!$C$92:$AL$92</c:f>
              <c:numCache>
                <c:formatCode>0.00%</c:formatCode>
                <c:ptCount val="5"/>
                <c:pt idx="0">
                  <c:v>4.0000000000000022E-2</c:v>
                </c:pt>
                <c:pt idx="1">
                  <c:v>4.0000000000000022E-2</c:v>
                </c:pt>
                <c:pt idx="2">
                  <c:v>2.0000000000000011E-2</c:v>
                </c:pt>
                <c:pt idx="3">
                  <c:v>2.0000000000000011E-2</c:v>
                </c:pt>
                <c:pt idx="4">
                  <c:v>2.0000000000000011E-2</c:v>
                </c:pt>
              </c:numCache>
            </c:numRef>
          </c:val>
        </c:ser>
        <c:ser>
          <c:idx val="3"/>
          <c:order val="3"/>
          <c:tx>
            <c:strRef>
              <c:f>'DATOS CALCULO INDICADORES'!$B$93</c:f>
              <c:strCache>
                <c:ptCount val="1"/>
                <c:pt idx="0">
                  <c:v>DEFICIENTE</c:v>
                </c:pt>
              </c:strCache>
            </c:strRef>
          </c:tx>
          <c:spPr>
            <a:ln w="25400">
              <a:solidFill>
                <a:srgbClr val="FF0000"/>
              </a:solidFill>
              <a:prstDash val="solid"/>
            </a:ln>
          </c:spPr>
          <c:marker>
            <c:symbol val="none"/>
          </c:marker>
          <c:cat>
            <c:strRef>
              <c:f>'DATOS CALCULO INDICADORES'!$C$89:$AL$89</c:f>
              <c:strCache>
                <c:ptCount val="5"/>
                <c:pt idx="0">
                  <c:v>DIC 2010</c:v>
                </c:pt>
                <c:pt idx="1">
                  <c:v>DIC 2011</c:v>
                </c:pt>
                <c:pt idx="2">
                  <c:v>DIC 2012</c:v>
                </c:pt>
                <c:pt idx="3">
                  <c:v>DIC 2013</c:v>
                </c:pt>
                <c:pt idx="4">
                  <c:v>DIC 2014</c:v>
                </c:pt>
              </c:strCache>
            </c:strRef>
          </c:cat>
          <c:val>
            <c:numRef>
              <c:f>'DATOS CALCULO INDICADORES'!$C$93:$AL$93</c:f>
              <c:numCache>
                <c:formatCode>0.00%</c:formatCode>
                <c:ptCount val="5"/>
                <c:pt idx="0">
                  <c:v>3.0000000000000002E-2</c:v>
                </c:pt>
                <c:pt idx="1">
                  <c:v>3.0000000000000002E-2</c:v>
                </c:pt>
                <c:pt idx="2">
                  <c:v>1.5000000000000025E-2</c:v>
                </c:pt>
                <c:pt idx="3">
                  <c:v>1.5000000000000025E-2</c:v>
                </c:pt>
                <c:pt idx="4">
                  <c:v>1.5000000000000025E-2</c:v>
                </c:pt>
              </c:numCache>
            </c:numRef>
          </c:val>
        </c:ser>
        <c:marker val="1"/>
        <c:axId val="166161792"/>
        <c:axId val="166528128"/>
      </c:lineChart>
      <c:catAx>
        <c:axId val="166161792"/>
        <c:scaling>
          <c:orientation val="minMax"/>
        </c:scaling>
        <c:axPos val="b"/>
        <c:numFmt formatCode="@" sourceLinked="1"/>
        <c:tickLblPos val="nextTo"/>
        <c:spPr>
          <a:ln w="3175">
            <a:solidFill>
              <a:srgbClr val="000000"/>
            </a:solidFill>
            <a:prstDash val="solid"/>
          </a:ln>
        </c:spPr>
        <c:txPr>
          <a:bodyPr rot="0" vert="horz"/>
          <a:lstStyle/>
          <a:p>
            <a:pPr>
              <a:defRPr lang="es-ES" sz="875" b="1" i="0" u="none" strike="noStrike" baseline="0">
                <a:solidFill>
                  <a:srgbClr val="000000"/>
                </a:solidFill>
                <a:latin typeface="Arial"/>
                <a:ea typeface="Arial"/>
                <a:cs typeface="Arial"/>
              </a:defRPr>
            </a:pPr>
            <a:endParaRPr lang="es-ES"/>
          </a:p>
        </c:txPr>
        <c:crossAx val="166528128"/>
        <c:crosses val="autoZero"/>
        <c:auto val="1"/>
        <c:lblAlgn val="ctr"/>
        <c:lblOffset val="100"/>
        <c:tickLblSkip val="1"/>
        <c:tickMarkSkip val="1"/>
      </c:catAx>
      <c:valAx>
        <c:axId val="166528128"/>
        <c:scaling>
          <c:orientation val="minMax"/>
          <c:max val="0.1"/>
          <c:min val="0"/>
        </c:scaling>
        <c:axPos val="l"/>
        <c:numFmt formatCode="0%" sourceLinked="0"/>
        <c:tickLblPos val="nextTo"/>
        <c:spPr>
          <a:ln w="3175">
            <a:solidFill>
              <a:srgbClr val="000000"/>
            </a:solidFill>
            <a:prstDash val="solid"/>
          </a:ln>
        </c:spPr>
        <c:txPr>
          <a:bodyPr rot="0" vert="horz"/>
          <a:lstStyle/>
          <a:p>
            <a:pPr>
              <a:defRPr lang="es-ES" sz="875" b="0" i="0" u="none" strike="noStrike" baseline="0">
                <a:solidFill>
                  <a:srgbClr val="000000"/>
                </a:solidFill>
                <a:latin typeface="Arial"/>
                <a:ea typeface="Arial"/>
                <a:cs typeface="Arial"/>
              </a:defRPr>
            </a:pPr>
            <a:endParaRPr lang="es-ES"/>
          </a:p>
        </c:txPr>
        <c:crossAx val="166161792"/>
        <c:crosses val="autoZero"/>
        <c:crossBetween val="between"/>
        <c:majorUnit val="0.05"/>
        <c:minorUnit val="1.0000000000000005E-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17973856209150321"/>
          <c:y val="2.3972602739726002E-2"/>
          <c:w val="0.81617842414030062"/>
          <c:h val="0.17808248956966108"/>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25" b="0" i="0" u="none" strike="noStrike" baseline="0">
          <a:solidFill>
            <a:srgbClr val="000000"/>
          </a:solidFill>
          <a:latin typeface="Arial"/>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9.9307271339211522E-2"/>
          <c:y val="0.10410094637224022"/>
          <c:w val="0.88452755634693059"/>
          <c:h val="0.71608832807570999"/>
        </c:manualLayout>
      </c:layout>
      <c:barChart>
        <c:barDir val="col"/>
        <c:grouping val="clustered"/>
        <c:ser>
          <c:idx val="0"/>
          <c:order val="0"/>
          <c:tx>
            <c:strRef>
              <c:f>'DATOS CALCULO INDICADORES'!$B$80</c:f>
              <c:strCache>
                <c:ptCount val="1"/>
                <c:pt idx="0">
                  <c:v>cartera vencida/cartera neta</c:v>
                </c:pt>
              </c:strCache>
            </c:strRef>
          </c:tx>
          <c:spPr>
            <a:gradFill rotWithShape="0">
              <a:gsLst>
                <a:gs pos="0">
                  <a:srgbClr val="808000"/>
                </a:gs>
                <a:gs pos="100000">
                  <a:srgbClr val="800080"/>
                </a:gs>
              </a:gsLst>
              <a:lin ang="5400000" scaled="1"/>
            </a:gradFill>
            <a:ln w="12700">
              <a:solidFill>
                <a:srgbClr val="000000"/>
              </a:solidFill>
              <a:prstDash val="solid"/>
            </a:ln>
            <a:effectLst>
              <a:outerShdw dist="35921" dir="2700000" algn="br">
                <a:srgbClr val="000000"/>
              </a:outerShdw>
            </a:effectLst>
          </c:spPr>
          <c:dLbls>
            <c:dLbl>
              <c:idx val="0"/>
              <c:layout>
                <c:manualLayout>
                  <c:x val="-1.2429068538378399E-2"/>
                  <c:y val="7.5078199736403593E-4"/>
                </c:manualLayout>
              </c:layout>
              <c:dLblPos val="outEnd"/>
              <c:showVal val="1"/>
            </c:dLbl>
            <c:dLbl>
              <c:idx val="1"/>
              <c:layout>
                <c:manualLayout>
                  <c:x val="-2.6139832068503089E-3"/>
                  <c:y val="-6.3530933863752814E-3"/>
                </c:manualLayout>
              </c:layout>
              <c:dLblPos val="outEnd"/>
              <c:showVal val="1"/>
            </c:dLbl>
            <c:dLbl>
              <c:idx val="2"/>
              <c:layout>
                <c:manualLayout>
                  <c:x val="8.5864627631982247E-3"/>
                  <c:y val="-2.1454747178685046E-2"/>
                </c:manualLayout>
              </c:layout>
              <c:dLblPos val="outEnd"/>
              <c:showVal val="1"/>
            </c:dLbl>
            <c:dLbl>
              <c:idx val="3"/>
              <c:layout>
                <c:manualLayout>
                  <c:x val="1.0607049757538525E-2"/>
                  <c:y val="3.4191940518477526E-3"/>
                </c:manualLayout>
              </c:layout>
              <c:dLblPos val="outEnd"/>
              <c:showVal val="1"/>
            </c:dLbl>
            <c:dLbl>
              <c:idx val="4"/>
              <c:layout>
                <c:manualLayout>
                  <c:x val="7.9298345625349997E-3"/>
                  <c:y val="-7.8740157480314942E-3"/>
                </c:manualLayout>
              </c:layout>
              <c:dLblPos val="outEnd"/>
              <c:showVal val="1"/>
            </c:dLbl>
            <c:dLbl>
              <c:idx val="5"/>
              <c:layout>
                <c:manualLayout>
                  <c:x val="3.1791868972498652E-3"/>
                  <c:y val="-8.6433675285857506E-3"/>
                </c:manualLayout>
              </c:layout>
              <c:dLblPos val="outEnd"/>
              <c:showVal val="1"/>
            </c:dLbl>
            <c:dLbl>
              <c:idx val="6"/>
              <c:layout>
                <c:manualLayout>
                  <c:x val="-8.890424493705253E-3"/>
                  <c:y val="-1.0187038922973698E-2"/>
                </c:manualLayout>
              </c:layout>
              <c:dLblPos val="outEnd"/>
              <c:showVal val="1"/>
            </c:dLbl>
            <c:dLbl>
              <c:idx val="7"/>
              <c:layout>
                <c:manualLayout>
                  <c:xMode val="edge"/>
                  <c:yMode val="edge"/>
                  <c:x val="0.68360354224201403"/>
                  <c:y val="0.43217665615142031"/>
                </c:manualLayout>
              </c:layout>
              <c:dLblPos val="outEnd"/>
              <c:showVal val="1"/>
            </c:dLbl>
            <c:dLbl>
              <c:idx val="8"/>
              <c:layout>
                <c:manualLayout>
                  <c:xMode val="edge"/>
                  <c:yMode val="edge"/>
                  <c:x val="0.78983922786070604"/>
                  <c:y val="0.53312302839116699"/>
                </c:manualLayout>
              </c:layout>
              <c:dLblPos val="outEnd"/>
              <c:showVal val="1"/>
            </c:dLbl>
            <c:dLbl>
              <c:idx val="9"/>
              <c:layout>
                <c:manualLayout>
                  <c:xMode val="edge"/>
                  <c:yMode val="edge"/>
                  <c:x val="0.93533592772978302"/>
                  <c:y val="0.65299684542587666"/>
                </c:manualLayout>
              </c:layout>
              <c:dLblPos val="outEnd"/>
              <c:showVal val="1"/>
            </c:dLbl>
            <c:dLbl>
              <c:idx val="10"/>
              <c:layout>
                <c:manualLayout>
                  <c:xMode val="edge"/>
                  <c:yMode val="edge"/>
                  <c:x val="0.90993174203835703"/>
                  <c:y val="0.48264984227129293"/>
                </c:manualLayout>
              </c:layout>
              <c:dLblPos val="outEnd"/>
              <c:showVal val="1"/>
            </c:dLbl>
            <c:dLbl>
              <c:idx val="11"/>
              <c:layout>
                <c:manualLayout>
                  <c:xMode val="edge"/>
                  <c:yMode val="edge"/>
                  <c:x val="0.94457381343575764"/>
                  <c:y val="1.577287066246081E-2"/>
                </c:manualLayout>
              </c:layout>
              <c:dLblPos val="outEnd"/>
              <c:showVal val="1"/>
            </c:dLbl>
            <c:dLbl>
              <c:idx val="12"/>
              <c:layout>
                <c:manualLayout>
                  <c:xMode val="edge"/>
                  <c:yMode val="edge"/>
                  <c:x val="0.39953855678333899"/>
                  <c:y val="0.25236593059936901"/>
                </c:manualLayout>
              </c:layout>
              <c:dLblPos val="outEnd"/>
              <c:showVal val="1"/>
            </c:dLbl>
            <c:dLbl>
              <c:idx val="13"/>
              <c:layout>
                <c:manualLayout>
                  <c:xMode val="edge"/>
                  <c:yMode val="edge"/>
                  <c:x val="0.43418062818073938"/>
                  <c:y val="0.29652996845426416"/>
                </c:manualLayout>
              </c:layout>
              <c:dLblPos val="outEnd"/>
              <c:showVal val="1"/>
            </c:dLbl>
            <c:dLbl>
              <c:idx val="14"/>
              <c:layout>
                <c:manualLayout>
                  <c:xMode val="edge"/>
                  <c:yMode val="edge"/>
                  <c:x val="0.45496587101918134"/>
                  <c:y val="0.23974763406940319"/>
                </c:manualLayout>
              </c:layout>
              <c:dLblPos val="outEnd"/>
              <c:showVal val="1"/>
            </c:dLbl>
            <c:dLbl>
              <c:idx val="15"/>
              <c:layout>
                <c:manualLayout>
                  <c:xMode val="edge"/>
                  <c:yMode val="edge"/>
                  <c:x val="0.51270265668151804"/>
                  <c:y val="0.2492113564668802"/>
                </c:manualLayout>
              </c:layout>
              <c:dLblPos val="outEnd"/>
              <c:showVal val="1"/>
            </c:dLbl>
            <c:dLbl>
              <c:idx val="16"/>
              <c:layout>
                <c:manualLayout>
                  <c:xMode val="edge"/>
                  <c:yMode val="edge"/>
                  <c:x val="0.50808371382852402"/>
                  <c:y val="0.29968454258675131"/>
                </c:manualLayout>
              </c:layout>
              <c:dLblPos val="outEnd"/>
              <c:showVal val="1"/>
            </c:dLbl>
            <c:dLbl>
              <c:idx val="17"/>
              <c:layout>
                <c:manualLayout>
                  <c:xMode val="edge"/>
                  <c:yMode val="edge"/>
                  <c:x val="0.57043944234385002"/>
                  <c:y val="0.23659305993690904"/>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INDICADORES'!$C$79:$AL$79</c:f>
              <c:strCache>
                <c:ptCount val="5"/>
                <c:pt idx="0">
                  <c:v>DIC 2010</c:v>
                </c:pt>
                <c:pt idx="1">
                  <c:v>DIC 2011</c:v>
                </c:pt>
                <c:pt idx="2">
                  <c:v>DIC 2012</c:v>
                </c:pt>
                <c:pt idx="3">
                  <c:v>DIC 2013</c:v>
                </c:pt>
                <c:pt idx="4">
                  <c:v>DIC 2014</c:v>
                </c:pt>
              </c:strCache>
            </c:strRef>
          </c:cat>
          <c:val>
            <c:numRef>
              <c:f>'DATOS CALCULO INDICADORES'!$C$80:$AL$80</c:f>
              <c:numCache>
                <c:formatCode>0.00%</c:formatCode>
                <c:ptCount val="5"/>
                <c:pt idx="0">
                  <c:v>6.1119258243057785E-2</c:v>
                </c:pt>
                <c:pt idx="1">
                  <c:v>2.9041668480864029E-2</c:v>
                </c:pt>
                <c:pt idx="2">
                  <c:v>3.2624044407654491E-2</c:v>
                </c:pt>
                <c:pt idx="3">
                  <c:v>2.2662889518413692E-2</c:v>
                </c:pt>
                <c:pt idx="4">
                  <c:v>3.4752094181571207E-2</c:v>
                </c:pt>
              </c:numCache>
            </c:numRef>
          </c:val>
        </c:ser>
        <c:gapWidth val="50"/>
        <c:axId val="166736640"/>
        <c:axId val="166738176"/>
      </c:barChart>
      <c:lineChart>
        <c:grouping val="standard"/>
        <c:ser>
          <c:idx val="1"/>
          <c:order val="1"/>
          <c:tx>
            <c:strRef>
              <c:f>'DATOS CALCULO INDICADORES'!$B$81</c:f>
              <c:strCache>
                <c:ptCount val="1"/>
                <c:pt idx="0">
                  <c:v>EXCELENTE</c:v>
                </c:pt>
              </c:strCache>
            </c:strRef>
          </c:tx>
          <c:spPr>
            <a:ln w="25400">
              <a:solidFill>
                <a:srgbClr val="008000"/>
              </a:solidFill>
              <a:prstDash val="solid"/>
            </a:ln>
          </c:spPr>
          <c:marker>
            <c:symbol val="none"/>
          </c:marker>
          <c:cat>
            <c:strRef>
              <c:f>'DATOS CALCULO INDICADORES'!$C$79:$AL$79</c:f>
              <c:strCache>
                <c:ptCount val="5"/>
                <c:pt idx="0">
                  <c:v>DIC 2010</c:v>
                </c:pt>
                <c:pt idx="1">
                  <c:v>DIC 2011</c:v>
                </c:pt>
                <c:pt idx="2">
                  <c:v>DIC 2012</c:v>
                </c:pt>
                <c:pt idx="3">
                  <c:v>DIC 2013</c:v>
                </c:pt>
                <c:pt idx="4">
                  <c:v>DIC 2014</c:v>
                </c:pt>
              </c:strCache>
            </c:strRef>
          </c:cat>
          <c:val>
            <c:numRef>
              <c:f>'DATOS CALCULO INDICADORES'!$C$81:$AL$81</c:f>
              <c:numCache>
                <c:formatCode>0.00%</c:formatCode>
                <c:ptCount val="5"/>
                <c:pt idx="0">
                  <c:v>2.5563503534254208E-2</c:v>
                </c:pt>
                <c:pt idx="1">
                  <c:v>2.5563503534254208E-2</c:v>
                </c:pt>
                <c:pt idx="2">
                  <c:v>2.5563503534254208E-2</c:v>
                </c:pt>
                <c:pt idx="3">
                  <c:v>2.5563503534254208E-2</c:v>
                </c:pt>
                <c:pt idx="4">
                  <c:v>2.5563503534254208E-2</c:v>
                </c:pt>
              </c:numCache>
            </c:numRef>
          </c:val>
        </c:ser>
        <c:ser>
          <c:idx val="2"/>
          <c:order val="2"/>
          <c:tx>
            <c:strRef>
              <c:f>'DATOS CALCULO INDICADORES'!$B$82</c:f>
              <c:strCache>
                <c:ptCount val="1"/>
                <c:pt idx="0">
                  <c:v>REGULAR</c:v>
                </c:pt>
              </c:strCache>
            </c:strRef>
          </c:tx>
          <c:spPr>
            <a:ln w="25400">
              <a:solidFill>
                <a:srgbClr val="000080"/>
              </a:solidFill>
              <a:prstDash val="solid"/>
            </a:ln>
          </c:spPr>
          <c:marker>
            <c:symbol val="none"/>
          </c:marker>
          <c:cat>
            <c:strRef>
              <c:f>'DATOS CALCULO INDICADORES'!$C$79:$AL$79</c:f>
              <c:strCache>
                <c:ptCount val="5"/>
                <c:pt idx="0">
                  <c:v>DIC 2010</c:v>
                </c:pt>
                <c:pt idx="1">
                  <c:v>DIC 2011</c:v>
                </c:pt>
                <c:pt idx="2">
                  <c:v>DIC 2012</c:v>
                </c:pt>
                <c:pt idx="3">
                  <c:v>DIC 2013</c:v>
                </c:pt>
                <c:pt idx="4">
                  <c:v>DIC 2014</c:v>
                </c:pt>
              </c:strCache>
            </c:strRef>
          </c:cat>
          <c:val>
            <c:numRef>
              <c:f>'DATOS CALCULO INDICADORES'!$C$82:$AL$82</c:f>
              <c:numCache>
                <c:formatCode>0.00%</c:formatCode>
                <c:ptCount val="5"/>
                <c:pt idx="0">
                  <c:v>3.4084671379005595E-2</c:v>
                </c:pt>
                <c:pt idx="1">
                  <c:v>3.4084671379005595E-2</c:v>
                </c:pt>
                <c:pt idx="2">
                  <c:v>3.4084671379005595E-2</c:v>
                </c:pt>
                <c:pt idx="3">
                  <c:v>3.4084671379005595E-2</c:v>
                </c:pt>
                <c:pt idx="4">
                  <c:v>3.4084671379005595E-2</c:v>
                </c:pt>
              </c:numCache>
            </c:numRef>
          </c:val>
        </c:ser>
        <c:ser>
          <c:idx val="3"/>
          <c:order val="3"/>
          <c:tx>
            <c:strRef>
              <c:f>'DATOS CALCULO INDICADORES'!$B$83</c:f>
              <c:strCache>
                <c:ptCount val="1"/>
                <c:pt idx="0">
                  <c:v>DEFICIENTE</c:v>
                </c:pt>
              </c:strCache>
            </c:strRef>
          </c:tx>
          <c:spPr>
            <a:ln w="25400">
              <a:solidFill>
                <a:srgbClr val="FF0000"/>
              </a:solidFill>
              <a:prstDash val="solid"/>
            </a:ln>
          </c:spPr>
          <c:marker>
            <c:symbol val="none"/>
          </c:marker>
          <c:cat>
            <c:strRef>
              <c:f>'DATOS CALCULO INDICADORES'!$C$79:$AL$79</c:f>
              <c:strCache>
                <c:ptCount val="5"/>
                <c:pt idx="0">
                  <c:v>DIC 2010</c:v>
                </c:pt>
                <c:pt idx="1">
                  <c:v>DIC 2011</c:v>
                </c:pt>
                <c:pt idx="2">
                  <c:v>DIC 2012</c:v>
                </c:pt>
                <c:pt idx="3">
                  <c:v>DIC 2013</c:v>
                </c:pt>
                <c:pt idx="4">
                  <c:v>DIC 2014</c:v>
                </c:pt>
              </c:strCache>
            </c:strRef>
          </c:cat>
          <c:val>
            <c:numRef>
              <c:f>'DATOS CALCULO INDICADORES'!$C$83:$AL$83</c:f>
              <c:numCache>
                <c:formatCode>0.00%</c:formatCode>
                <c:ptCount val="5"/>
                <c:pt idx="0">
                  <c:v>4.2605839223757005E-2</c:v>
                </c:pt>
                <c:pt idx="1">
                  <c:v>4.2605839223757005E-2</c:v>
                </c:pt>
                <c:pt idx="2">
                  <c:v>4.2605839223757005E-2</c:v>
                </c:pt>
                <c:pt idx="3">
                  <c:v>4.2605839223757005E-2</c:v>
                </c:pt>
                <c:pt idx="4">
                  <c:v>4.2605839223757005E-2</c:v>
                </c:pt>
              </c:numCache>
            </c:numRef>
          </c:val>
        </c:ser>
        <c:marker val="1"/>
        <c:axId val="166736640"/>
        <c:axId val="166738176"/>
      </c:lineChart>
      <c:catAx>
        <c:axId val="166736640"/>
        <c:scaling>
          <c:orientation val="minMax"/>
        </c:scaling>
        <c:axPos val="b"/>
        <c:numFmt formatCode="@" sourceLinked="1"/>
        <c:tickLblPos val="nextTo"/>
        <c:spPr>
          <a:ln w="3175">
            <a:solidFill>
              <a:srgbClr val="000000"/>
            </a:solidFill>
            <a:prstDash val="solid"/>
          </a:ln>
        </c:spPr>
        <c:txPr>
          <a:bodyPr rot="0" vert="horz"/>
          <a:lstStyle/>
          <a:p>
            <a:pPr>
              <a:defRPr lang="es-ES" sz="925" b="1" i="0" u="none" strike="noStrike" baseline="0">
                <a:solidFill>
                  <a:srgbClr val="000000"/>
                </a:solidFill>
                <a:latin typeface="Arial"/>
                <a:ea typeface="Arial"/>
                <a:cs typeface="Arial"/>
              </a:defRPr>
            </a:pPr>
            <a:endParaRPr lang="es-ES"/>
          </a:p>
        </c:txPr>
        <c:crossAx val="166738176"/>
        <c:crosses val="autoZero"/>
        <c:auto val="1"/>
        <c:lblAlgn val="ctr"/>
        <c:lblOffset val="100"/>
        <c:tickLblSkip val="1"/>
        <c:tickMarkSkip val="1"/>
      </c:catAx>
      <c:valAx>
        <c:axId val="166738176"/>
        <c:scaling>
          <c:orientation val="minMax"/>
          <c:max val="0.15000000000000024"/>
          <c:min val="0"/>
        </c:scaling>
        <c:axPos val="l"/>
        <c:numFmt formatCode="0%" sourceLinked="0"/>
        <c:tickLblPos val="nextTo"/>
        <c:spPr>
          <a:ln w="3175">
            <a:solidFill>
              <a:srgbClr val="000000"/>
            </a:solidFill>
            <a:prstDash val="solid"/>
          </a:ln>
        </c:spPr>
        <c:txPr>
          <a:bodyPr rot="0" vert="horz"/>
          <a:lstStyle/>
          <a:p>
            <a:pPr>
              <a:defRPr lang="es-ES" sz="925" b="0" i="0" u="none" strike="noStrike" baseline="0">
                <a:solidFill>
                  <a:srgbClr val="000000"/>
                </a:solidFill>
                <a:latin typeface="Arial"/>
                <a:ea typeface="Arial"/>
                <a:cs typeface="Arial"/>
              </a:defRPr>
            </a:pPr>
            <a:endParaRPr lang="es-ES"/>
          </a:p>
        </c:txPr>
        <c:crossAx val="166736640"/>
        <c:crosses val="autoZero"/>
        <c:crossBetween val="between"/>
        <c:majorUnit val="1.0000000000000005E-2"/>
        <c:minorUnit val="1.0000000000000005E-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221709256943356"/>
          <c:y val="4.4164037854890668E-2"/>
          <c:w val="0.7690539850222583"/>
          <c:h val="0.15141955835962273"/>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00" b="0" i="0" u="none" strike="noStrike" baseline="0">
          <a:solidFill>
            <a:srgbClr val="000000"/>
          </a:solidFill>
          <a:latin typeface="Arial"/>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s-ES"/>
  <c:roundedCorners val="1"/>
  <c:chart>
    <c:plotArea>
      <c:layout>
        <c:manualLayout>
          <c:layoutTarget val="inner"/>
          <c:xMode val="edge"/>
          <c:yMode val="edge"/>
          <c:x val="8.8305489260143227E-2"/>
          <c:y val="0.13015913367787021"/>
          <c:w val="0.89498806682577603"/>
          <c:h val="0.6984148636373495"/>
        </c:manualLayout>
      </c:layout>
      <c:barChart>
        <c:barDir val="col"/>
        <c:grouping val="clustered"/>
        <c:ser>
          <c:idx val="0"/>
          <c:order val="0"/>
          <c:tx>
            <c:strRef>
              <c:f>'DATOS CALCULO INDICADORES'!$B$85</c:f>
              <c:strCache>
                <c:ptCount val="1"/>
                <c:pt idx="0">
                  <c:v>activos improd/total de activos</c:v>
                </c:pt>
              </c:strCache>
            </c:strRef>
          </c:tx>
          <c:spPr>
            <a:gradFill rotWithShape="0">
              <a:gsLst>
                <a:gs pos="0">
                  <a:srgbClr val="008000"/>
                </a:gs>
                <a:gs pos="100000">
                  <a:srgbClr val="003300"/>
                </a:gs>
              </a:gsLst>
              <a:lin ang="5400000" scaled="1"/>
            </a:gradFill>
            <a:ln w="12700">
              <a:solidFill>
                <a:srgbClr val="000000"/>
              </a:solidFill>
              <a:prstDash val="solid"/>
            </a:ln>
            <a:effectLst>
              <a:outerShdw dist="35921" dir="2700000" algn="br">
                <a:srgbClr val="000000"/>
              </a:outerShdw>
            </a:effectLst>
          </c:spPr>
          <c:dLbls>
            <c:dLbl>
              <c:idx val="0"/>
              <c:layout>
                <c:manualLayout>
                  <c:x val="-5.6640294664837805E-3"/>
                  <c:y val="-5.4862723410343504E-2"/>
                </c:manualLayout>
              </c:layout>
              <c:dLblPos val="outEnd"/>
              <c:showVal val="1"/>
            </c:dLbl>
            <c:dLbl>
              <c:idx val="1"/>
              <c:layout>
                <c:manualLayout>
                  <c:x val="-1.8134165210255685E-2"/>
                  <c:y val="-8.4354821682652292E-2"/>
                </c:manualLayout>
              </c:layout>
              <c:dLblPos val="outEnd"/>
              <c:showVal val="1"/>
            </c:dLbl>
            <c:dLbl>
              <c:idx val="2"/>
              <c:layout>
                <c:manualLayout>
                  <c:x val="-3.2177600711605402E-3"/>
                  <c:y val="-3.2597925259342603E-2"/>
                </c:manualLayout>
              </c:layout>
              <c:dLblPos val="outEnd"/>
              <c:showVal val="1"/>
            </c:dLbl>
            <c:dLbl>
              <c:idx val="3"/>
              <c:layout>
                <c:manualLayout>
                  <c:x val="2.1521056884595906E-3"/>
                  <c:y val="-7.5156605424322023E-2"/>
                </c:manualLayout>
              </c:layout>
              <c:dLblPos val="outEnd"/>
              <c:showVal val="1"/>
            </c:dLbl>
            <c:dLbl>
              <c:idx val="4"/>
              <c:layout>
                <c:manualLayout>
                  <c:x val="1.0042465783359105E-2"/>
                  <c:y val="-2.8717838841573411E-2"/>
                </c:manualLayout>
              </c:layout>
              <c:dLblPos val="outEnd"/>
              <c:showVal val="1"/>
            </c:dLbl>
            <c:dLbl>
              <c:idx val="5"/>
              <c:layout>
                <c:manualLayout>
                  <c:x val="-1.1909119951891502E-2"/>
                  <c:y val="-9.0438695163104644E-3"/>
                </c:manualLayout>
              </c:layout>
              <c:dLblPos val="outEnd"/>
              <c:showVal val="1"/>
            </c:dLbl>
            <c:dLbl>
              <c:idx val="6"/>
              <c:layout>
                <c:manualLayout>
                  <c:x val="-1.2221825493770473E-2"/>
                  <c:y val="1.3258342707162421E-3"/>
                </c:manualLayout>
              </c:layout>
              <c:dLblPos val="outEnd"/>
              <c:showVal val="1"/>
            </c:dLbl>
            <c:dLbl>
              <c:idx val="7"/>
              <c:layout>
                <c:manualLayout>
                  <c:xMode val="edge"/>
                  <c:yMode val="edge"/>
                  <c:x val="0.68496420047732698"/>
                  <c:y val="0.45714427438081434"/>
                </c:manualLayout>
              </c:layout>
              <c:dLblPos val="outEnd"/>
              <c:showVal val="1"/>
            </c:dLbl>
            <c:dLbl>
              <c:idx val="8"/>
              <c:layout>
                <c:manualLayout>
                  <c:xMode val="edge"/>
                  <c:yMode val="edge"/>
                  <c:x val="0.77804295942720803"/>
                  <c:y val="0.50476346962881202"/>
                </c:manualLayout>
              </c:layout>
              <c:dLblPos val="outEnd"/>
              <c:showVal val="1"/>
            </c:dLbl>
            <c:dLbl>
              <c:idx val="9"/>
              <c:layout>
                <c:manualLayout>
                  <c:xMode val="edge"/>
                  <c:yMode val="edge"/>
                  <c:x val="0.93794749403342004"/>
                  <c:y val="0.61904953822402509"/>
                </c:manualLayout>
              </c:layout>
              <c:dLblPos val="outEnd"/>
              <c:showVal val="1"/>
            </c:dLbl>
            <c:dLbl>
              <c:idx val="10"/>
              <c:layout>
                <c:manualLayout>
                  <c:xMode val="edge"/>
                  <c:yMode val="edge"/>
                  <c:x val="0.90692124105012062"/>
                  <c:y val="0.58412879504214166"/>
                </c:manualLayout>
              </c:layout>
              <c:dLblPos val="outEnd"/>
              <c:showVal val="1"/>
            </c:dLbl>
            <c:dLbl>
              <c:idx val="11"/>
              <c:layout>
                <c:manualLayout>
                  <c:xMode val="edge"/>
                  <c:yMode val="edge"/>
                  <c:x val="0.97613365155131204"/>
                  <c:y val="1.5873065082667278E-2"/>
                </c:manualLayout>
              </c:layout>
              <c:dLblPos val="outEnd"/>
              <c:showVal val="1"/>
            </c:dLbl>
            <c:dLbl>
              <c:idx val="12"/>
              <c:layout>
                <c:manualLayout>
                  <c:xMode val="edge"/>
                  <c:yMode val="edge"/>
                  <c:x val="0.41288782816229552"/>
                  <c:y val="0.25396904132267634"/>
                </c:manualLayout>
              </c:layout>
              <c:dLblPos val="outEnd"/>
              <c:showVal val="1"/>
            </c:dLbl>
            <c:dLbl>
              <c:idx val="13"/>
              <c:layout>
                <c:manualLayout>
                  <c:xMode val="edge"/>
                  <c:yMode val="edge"/>
                  <c:x val="0.44868735083532174"/>
                  <c:y val="0.29841362355414464"/>
                </c:manualLayout>
              </c:layout>
              <c:dLblPos val="outEnd"/>
              <c:showVal val="1"/>
            </c:dLbl>
            <c:dLbl>
              <c:idx val="14"/>
              <c:layout>
                <c:manualLayout>
                  <c:xMode val="edge"/>
                  <c:yMode val="edge"/>
                  <c:x val="0.47016706443914102"/>
                  <c:y val="0.24127058925653888"/>
                </c:manualLayout>
              </c:layout>
              <c:dLblPos val="outEnd"/>
              <c:showVal val="1"/>
            </c:dLbl>
            <c:dLbl>
              <c:idx val="15"/>
              <c:layout>
                <c:manualLayout>
                  <c:xMode val="edge"/>
                  <c:yMode val="edge"/>
                  <c:x val="0.52983293556085898"/>
                  <c:y val="0.25079442830613419"/>
                </c:manualLayout>
              </c:layout>
              <c:dLblPos val="outEnd"/>
              <c:showVal val="1"/>
            </c:dLbl>
            <c:dLbl>
              <c:idx val="16"/>
              <c:layout>
                <c:manualLayout>
                  <c:xMode val="edge"/>
                  <c:yMode val="edge"/>
                  <c:x val="0.52505966587112196"/>
                  <c:y val="0.30158823657067751"/>
                </c:manualLayout>
              </c:layout>
              <c:dLblPos val="outEnd"/>
              <c:showVal val="1"/>
            </c:dLbl>
            <c:dLbl>
              <c:idx val="17"/>
              <c:layout>
                <c:manualLayout>
                  <c:xMode val="edge"/>
                  <c:yMode val="edge"/>
                  <c:x val="0.58949880668258503"/>
                  <c:y val="0.238095976240006"/>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INDICADORES'!$C$84:$AL$84</c:f>
              <c:strCache>
                <c:ptCount val="5"/>
                <c:pt idx="0">
                  <c:v>DIC 2010</c:v>
                </c:pt>
                <c:pt idx="1">
                  <c:v>DIC 2011</c:v>
                </c:pt>
                <c:pt idx="2">
                  <c:v>DIC 2012</c:v>
                </c:pt>
                <c:pt idx="3">
                  <c:v>DIC 2013</c:v>
                </c:pt>
                <c:pt idx="4">
                  <c:v>DIC 2014</c:v>
                </c:pt>
              </c:strCache>
            </c:strRef>
          </c:cat>
          <c:val>
            <c:numRef>
              <c:f>'DATOS CALCULO INDICADORES'!$C$85:$AL$85</c:f>
              <c:numCache>
                <c:formatCode>0.00%</c:formatCode>
                <c:ptCount val="5"/>
                <c:pt idx="0">
                  <c:v>5.6047817859610133E-2</c:v>
                </c:pt>
                <c:pt idx="1">
                  <c:v>5.581162472204676E-2</c:v>
                </c:pt>
                <c:pt idx="2">
                  <c:v>0.11675618561239798</c:v>
                </c:pt>
                <c:pt idx="3">
                  <c:v>0.12833098638771501</c:v>
                </c:pt>
                <c:pt idx="4">
                  <c:v>0.111640670132871</c:v>
                </c:pt>
              </c:numCache>
            </c:numRef>
          </c:val>
        </c:ser>
        <c:gapWidth val="50"/>
        <c:axId val="166610816"/>
        <c:axId val="166612352"/>
      </c:barChart>
      <c:lineChart>
        <c:grouping val="standard"/>
        <c:ser>
          <c:idx val="1"/>
          <c:order val="1"/>
          <c:tx>
            <c:strRef>
              <c:f>'DATOS CALCULO INDICADORES'!$B$86</c:f>
              <c:strCache>
                <c:ptCount val="1"/>
                <c:pt idx="0">
                  <c:v>EXCELENTE</c:v>
                </c:pt>
              </c:strCache>
            </c:strRef>
          </c:tx>
          <c:spPr>
            <a:ln w="25400">
              <a:solidFill>
                <a:srgbClr val="003300"/>
              </a:solidFill>
              <a:prstDash val="solid"/>
            </a:ln>
          </c:spPr>
          <c:marker>
            <c:symbol val="none"/>
          </c:marker>
          <c:cat>
            <c:strRef>
              <c:f>'DATOS CALCULO INDICADORES'!$C$84:$AL$84</c:f>
              <c:strCache>
                <c:ptCount val="5"/>
                <c:pt idx="0">
                  <c:v>DIC 2010</c:v>
                </c:pt>
                <c:pt idx="1">
                  <c:v>DIC 2011</c:v>
                </c:pt>
                <c:pt idx="2">
                  <c:v>DIC 2012</c:v>
                </c:pt>
                <c:pt idx="3">
                  <c:v>DIC 2013</c:v>
                </c:pt>
                <c:pt idx="4">
                  <c:v>DIC 2014</c:v>
                </c:pt>
              </c:strCache>
            </c:strRef>
          </c:cat>
          <c:val>
            <c:numRef>
              <c:f>'DATOS CALCULO INDICADORES'!$C$86:$AL$86</c:f>
              <c:numCache>
                <c:formatCode>0.00%</c:formatCode>
                <c:ptCount val="5"/>
                <c:pt idx="0">
                  <c:v>6.1316954575881918E-2</c:v>
                </c:pt>
                <c:pt idx="1">
                  <c:v>6.1316954575881918E-2</c:v>
                </c:pt>
                <c:pt idx="2">
                  <c:v>6.1316954575881918E-2</c:v>
                </c:pt>
                <c:pt idx="3">
                  <c:v>6.1316954575881918E-2</c:v>
                </c:pt>
                <c:pt idx="4">
                  <c:v>6.1316954575881918E-2</c:v>
                </c:pt>
              </c:numCache>
            </c:numRef>
          </c:val>
        </c:ser>
        <c:ser>
          <c:idx val="2"/>
          <c:order val="2"/>
          <c:tx>
            <c:strRef>
              <c:f>'DATOS CALCULO INDICADORES'!$B$87</c:f>
              <c:strCache>
                <c:ptCount val="1"/>
                <c:pt idx="0">
                  <c:v>REGULAR</c:v>
                </c:pt>
              </c:strCache>
            </c:strRef>
          </c:tx>
          <c:spPr>
            <a:ln w="25400">
              <a:solidFill>
                <a:srgbClr val="000080"/>
              </a:solidFill>
              <a:prstDash val="solid"/>
            </a:ln>
          </c:spPr>
          <c:marker>
            <c:symbol val="none"/>
          </c:marker>
          <c:cat>
            <c:strRef>
              <c:f>'DATOS CALCULO INDICADORES'!$C$84:$AL$84</c:f>
              <c:strCache>
                <c:ptCount val="5"/>
                <c:pt idx="0">
                  <c:v>DIC 2010</c:v>
                </c:pt>
                <c:pt idx="1">
                  <c:v>DIC 2011</c:v>
                </c:pt>
                <c:pt idx="2">
                  <c:v>DIC 2012</c:v>
                </c:pt>
                <c:pt idx="3">
                  <c:v>DIC 2013</c:v>
                </c:pt>
                <c:pt idx="4">
                  <c:v>DIC 2014</c:v>
                </c:pt>
              </c:strCache>
            </c:strRef>
          </c:cat>
          <c:val>
            <c:numRef>
              <c:f>'DATOS CALCULO INDICADORES'!$C$87:$AL$87</c:f>
              <c:numCache>
                <c:formatCode>0.00%</c:formatCode>
                <c:ptCount val="5"/>
                <c:pt idx="0">
                  <c:v>8.1755939434509067E-2</c:v>
                </c:pt>
                <c:pt idx="1">
                  <c:v>8.1755939434509067E-2</c:v>
                </c:pt>
                <c:pt idx="2">
                  <c:v>8.1755939434509067E-2</c:v>
                </c:pt>
                <c:pt idx="3">
                  <c:v>8.1755939434509067E-2</c:v>
                </c:pt>
                <c:pt idx="4">
                  <c:v>8.1755939434509067E-2</c:v>
                </c:pt>
              </c:numCache>
            </c:numRef>
          </c:val>
        </c:ser>
        <c:ser>
          <c:idx val="3"/>
          <c:order val="3"/>
          <c:tx>
            <c:strRef>
              <c:f>'DATOS CALCULO INDICADORES'!$B$88</c:f>
              <c:strCache>
                <c:ptCount val="1"/>
                <c:pt idx="0">
                  <c:v>DEFICIENTE</c:v>
                </c:pt>
              </c:strCache>
            </c:strRef>
          </c:tx>
          <c:spPr>
            <a:ln w="25400">
              <a:solidFill>
                <a:srgbClr val="FF0000"/>
              </a:solidFill>
              <a:prstDash val="solid"/>
            </a:ln>
          </c:spPr>
          <c:marker>
            <c:symbol val="none"/>
          </c:marker>
          <c:cat>
            <c:strRef>
              <c:f>'DATOS CALCULO INDICADORES'!$C$84:$AL$84</c:f>
              <c:strCache>
                <c:ptCount val="5"/>
                <c:pt idx="0">
                  <c:v>DIC 2010</c:v>
                </c:pt>
                <c:pt idx="1">
                  <c:v>DIC 2011</c:v>
                </c:pt>
                <c:pt idx="2">
                  <c:v>DIC 2012</c:v>
                </c:pt>
                <c:pt idx="3">
                  <c:v>DIC 2013</c:v>
                </c:pt>
                <c:pt idx="4">
                  <c:v>DIC 2014</c:v>
                </c:pt>
              </c:strCache>
            </c:strRef>
          </c:cat>
          <c:val>
            <c:numRef>
              <c:f>'DATOS CALCULO INDICADORES'!$C$88:$AL$88</c:f>
              <c:numCache>
                <c:formatCode>0.00%</c:formatCode>
                <c:ptCount val="5"/>
                <c:pt idx="0">
                  <c:v>0.10219492429313641</c:v>
                </c:pt>
                <c:pt idx="1">
                  <c:v>0.10219492429313641</c:v>
                </c:pt>
                <c:pt idx="2">
                  <c:v>0.10219492429313641</c:v>
                </c:pt>
                <c:pt idx="3">
                  <c:v>0.10219492429313641</c:v>
                </c:pt>
                <c:pt idx="4">
                  <c:v>0.10219492429313641</c:v>
                </c:pt>
              </c:numCache>
            </c:numRef>
          </c:val>
        </c:ser>
        <c:marker val="1"/>
        <c:axId val="166610816"/>
        <c:axId val="166612352"/>
      </c:lineChart>
      <c:catAx>
        <c:axId val="166610816"/>
        <c:scaling>
          <c:orientation val="minMax"/>
        </c:scaling>
        <c:axPos val="b"/>
        <c:numFmt formatCode="@" sourceLinked="1"/>
        <c:tickLblPos val="nextTo"/>
        <c:spPr>
          <a:ln w="3175">
            <a:solidFill>
              <a:srgbClr val="000000"/>
            </a:solidFill>
            <a:prstDash val="solid"/>
          </a:ln>
        </c:spPr>
        <c:txPr>
          <a:bodyPr rot="0" vert="horz"/>
          <a:lstStyle/>
          <a:p>
            <a:pPr>
              <a:defRPr lang="es-ES" sz="850" b="1" i="0" u="none" strike="noStrike" baseline="0">
                <a:solidFill>
                  <a:srgbClr val="000000"/>
                </a:solidFill>
                <a:latin typeface="Arial"/>
                <a:ea typeface="Arial"/>
                <a:cs typeface="Arial"/>
              </a:defRPr>
            </a:pPr>
            <a:endParaRPr lang="es-ES"/>
          </a:p>
        </c:txPr>
        <c:crossAx val="166612352"/>
        <c:crosses val="autoZero"/>
        <c:auto val="1"/>
        <c:lblAlgn val="ctr"/>
        <c:lblOffset val="100"/>
        <c:tickLblSkip val="1"/>
        <c:tickMarkSkip val="1"/>
      </c:catAx>
      <c:valAx>
        <c:axId val="166612352"/>
        <c:scaling>
          <c:orientation val="minMax"/>
          <c:max val="0.30000000000000032"/>
          <c:min val="0"/>
        </c:scaling>
        <c:axPos val="l"/>
        <c:numFmt formatCode="0%" sourceLinked="0"/>
        <c:tickLblPos val="nextTo"/>
        <c:spPr>
          <a:ln w="3175">
            <a:solidFill>
              <a:srgbClr val="000000"/>
            </a:solidFill>
            <a:prstDash val="solid"/>
          </a:ln>
        </c:spPr>
        <c:txPr>
          <a:bodyPr rot="0" vert="horz"/>
          <a:lstStyle/>
          <a:p>
            <a:pPr>
              <a:defRPr lang="es-ES" sz="850" b="0" i="0" u="none" strike="noStrike" baseline="0">
                <a:solidFill>
                  <a:srgbClr val="000000"/>
                </a:solidFill>
                <a:latin typeface="Arial"/>
                <a:ea typeface="Arial"/>
                <a:cs typeface="Arial"/>
              </a:defRPr>
            </a:pPr>
            <a:endParaRPr lang="es-ES"/>
          </a:p>
        </c:txPr>
        <c:crossAx val="166610816"/>
        <c:crosses val="autoZero"/>
        <c:crossBetween val="between"/>
        <c:majorUnit val="0.05"/>
        <c:minorUnit val="2.0000000000000011E-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19570405727923601"/>
          <c:y val="2.8571517148800806E-2"/>
          <c:w val="0.79474940334129762"/>
          <c:h val="0.16507987685973688"/>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50" b="0" i="0" u="none" strike="noStrike" baseline="0">
          <a:solidFill>
            <a:srgbClr val="000000"/>
          </a:solidFill>
          <a:latin typeface="Arial"/>
          <a:ea typeface="Arial"/>
          <a:cs typeface="Arial"/>
        </a:defRPr>
      </a:pPr>
      <a:endParaRPr lang="es-E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0413495449107132"/>
          <c:y val="0.26387612878439531"/>
          <c:w val="0.88367003050633164"/>
          <c:h val="0.61724451931193303"/>
        </c:manualLayout>
      </c:layout>
      <c:barChart>
        <c:barDir val="col"/>
        <c:grouping val="clustered"/>
        <c:ser>
          <c:idx val="0"/>
          <c:order val="0"/>
          <c:tx>
            <c:strRef>
              <c:f>'DATOS CALCULO INDICADORES'!$B$95</c:f>
              <c:strCache>
                <c:ptCount val="1"/>
                <c:pt idx="0">
                  <c:v>Activos improd/patrimonio</c:v>
                </c:pt>
              </c:strCache>
            </c:strRef>
          </c:tx>
          <c:spPr>
            <a:gradFill rotWithShape="0">
              <a:gsLst>
                <a:gs pos="0">
                  <a:srgbClr val="800000"/>
                </a:gs>
                <a:gs pos="100000">
                  <a:srgbClr val="800000">
                    <a:gamma/>
                    <a:shade val="46275"/>
                    <a:invGamma/>
                  </a:srgbClr>
                </a:gs>
              </a:gsLst>
              <a:lin ang="5400000" scaled="1"/>
            </a:gradFill>
            <a:ln w="12700">
              <a:solidFill>
                <a:srgbClr val="000000"/>
              </a:solidFill>
              <a:prstDash val="solid"/>
            </a:ln>
            <a:effectLst>
              <a:outerShdw dist="35921" dir="2700000" algn="br">
                <a:srgbClr val="000000"/>
              </a:outerShdw>
            </a:effectLst>
          </c:spPr>
          <c:dLbls>
            <c:dLbl>
              <c:idx val="0"/>
              <c:layout>
                <c:manualLayout>
                  <c:x val="1.9435119390564193E-2"/>
                  <c:y val="0.35003503300450201"/>
                </c:manualLayout>
              </c:layout>
              <c:dLblPos val="outEnd"/>
              <c:showVal val="1"/>
            </c:dLbl>
            <c:dLbl>
              <c:idx val="1"/>
              <c:layout>
                <c:manualLayout>
                  <c:x val="6.6300492926189671E-3"/>
                  <c:y val="-2.45161994204845E-2"/>
                </c:manualLayout>
              </c:layout>
              <c:dLblPos val="outEnd"/>
              <c:showVal val="1"/>
            </c:dLbl>
            <c:dLbl>
              <c:idx val="2"/>
              <c:layout>
                <c:manualLayout>
                  <c:x val="-3.7356786248974212E-3"/>
                  <c:y val="-2.34114824316911E-2"/>
                </c:manualLayout>
              </c:layout>
              <c:dLblPos val="outEnd"/>
              <c:showVal val="1"/>
            </c:dLbl>
            <c:dLbl>
              <c:idx val="3"/>
              <c:layout>
                <c:manualLayout>
                  <c:x val="3.1811775318061801E-3"/>
                  <c:y val="-1.76693430562559E-2"/>
                </c:manualLayout>
              </c:layout>
              <c:dLblPos val="outEnd"/>
              <c:showVal val="1"/>
            </c:dLbl>
            <c:dLbl>
              <c:idx val="4"/>
              <c:layout>
                <c:manualLayout>
                  <c:x val="-1.8466665413840171E-3"/>
                  <c:y val="-1.3545597440714163E-2"/>
                </c:manualLayout>
              </c:layout>
              <c:dLblPos val="outEnd"/>
              <c:showVal val="1"/>
            </c:dLbl>
            <c:dLbl>
              <c:idx val="5"/>
              <c:layout>
                <c:manualLayout>
                  <c:x val="4.7612828884194434E-3"/>
                  <c:y val="2.0359378154654016E-2"/>
                </c:manualLayout>
              </c:layout>
              <c:dLblPos val="outEnd"/>
              <c:showVal val="1"/>
            </c:dLbl>
            <c:dLbl>
              <c:idx val="6"/>
              <c:layout>
                <c:manualLayout>
                  <c:x val="1.0617758146085421E-2"/>
                  <c:y val="-1.3487876952443899E-2"/>
                </c:manualLayout>
              </c:layout>
              <c:dLblPos val="outEnd"/>
              <c:showVal val="1"/>
            </c:dLbl>
            <c:dLbl>
              <c:idx val="7"/>
              <c:layout>
                <c:manualLayout>
                  <c:xMode val="edge"/>
                  <c:yMode val="edge"/>
                  <c:x val="0.70000000000000162"/>
                  <c:y val="0.41258811698966169"/>
                </c:manualLayout>
              </c:layout>
              <c:dLblPos val="outEnd"/>
              <c:showVal val="1"/>
            </c:dLbl>
            <c:dLbl>
              <c:idx val="8"/>
              <c:layout>
                <c:manualLayout>
                  <c:xMode val="edge"/>
                  <c:yMode val="edge"/>
                  <c:x val="0.80731707317073198"/>
                  <c:y val="0.33916141820336132"/>
                </c:manualLayout>
              </c:layout>
              <c:dLblPos val="outEnd"/>
              <c:showVal val="1"/>
            </c:dLbl>
            <c:dLbl>
              <c:idx val="9"/>
              <c:layout>
                <c:manualLayout>
                  <c:xMode val="edge"/>
                  <c:yMode val="edge"/>
                  <c:x val="0.93414634146341502"/>
                  <c:y val="0.70629491213484408"/>
                </c:manualLayout>
              </c:layout>
              <c:dLblPos val="outEnd"/>
              <c:showVal val="1"/>
            </c:dLbl>
            <c:dLbl>
              <c:idx val="10"/>
              <c:layout>
                <c:manualLayout>
                  <c:xMode val="edge"/>
                  <c:yMode val="edge"/>
                  <c:x val="0.91707317073170658"/>
                  <c:y val="1.7482547330070205E-2"/>
                </c:manualLayout>
              </c:layout>
              <c:dLblPos val="outEnd"/>
              <c:showVal val="1"/>
            </c:dLbl>
            <c:dLbl>
              <c:idx val="11"/>
              <c:layout>
                <c:manualLayout>
                  <c:xMode val="edge"/>
                  <c:yMode val="edge"/>
                  <c:x val="0.99756097560974955"/>
                  <c:y val="1.7482547330070205E-2"/>
                </c:manualLayout>
              </c:layout>
              <c:dLblPos val="outEnd"/>
              <c:showVal val="1"/>
            </c:dLbl>
            <c:dLbl>
              <c:idx val="12"/>
              <c:layout>
                <c:manualLayout>
                  <c:xMode val="edge"/>
                  <c:yMode val="edge"/>
                  <c:x val="0.421951219512195"/>
                  <c:y val="0.279720757281122"/>
                </c:manualLayout>
              </c:layout>
              <c:dLblPos val="outEnd"/>
              <c:showVal val="1"/>
            </c:dLbl>
            <c:dLbl>
              <c:idx val="13"/>
              <c:layout>
                <c:manualLayout>
                  <c:xMode val="edge"/>
                  <c:yMode val="edge"/>
                  <c:x val="0.45853658536586062"/>
                  <c:y val="0.32867188980532275"/>
                </c:manualLayout>
              </c:layout>
              <c:dLblPos val="outEnd"/>
              <c:showVal val="1"/>
            </c:dLbl>
            <c:dLbl>
              <c:idx val="14"/>
              <c:layout>
                <c:manualLayout>
                  <c:xMode val="edge"/>
                  <c:yMode val="edge"/>
                  <c:x val="0.48048780487805404"/>
                  <c:y val="0.265734719417066"/>
                </c:manualLayout>
              </c:layout>
              <c:dLblPos val="outEnd"/>
              <c:showVal val="1"/>
            </c:dLbl>
            <c:dLbl>
              <c:idx val="15"/>
              <c:layout>
                <c:manualLayout>
                  <c:xMode val="edge"/>
                  <c:yMode val="edge"/>
                  <c:x val="0.54146341463414704"/>
                  <c:y val="0.27622424781510801"/>
                </c:manualLayout>
              </c:layout>
              <c:dLblPos val="outEnd"/>
              <c:showVal val="1"/>
            </c:dLbl>
            <c:dLbl>
              <c:idx val="16"/>
              <c:layout>
                <c:manualLayout>
                  <c:xMode val="edge"/>
                  <c:yMode val="edge"/>
                  <c:x val="0.53658536585364802"/>
                  <c:y val="0.33216839927133635"/>
                </c:manualLayout>
              </c:layout>
              <c:dLblPos val="outEnd"/>
              <c:showVal val="1"/>
            </c:dLbl>
            <c:dLbl>
              <c:idx val="17"/>
              <c:layout>
                <c:manualLayout>
                  <c:xMode val="edge"/>
                  <c:yMode val="edge"/>
                  <c:x val="0.60243902439024399"/>
                  <c:y val="0.26223820995105201"/>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INDICADORES'!$C$94:$AL$94</c:f>
              <c:strCache>
                <c:ptCount val="5"/>
                <c:pt idx="0">
                  <c:v>DIC 2010</c:v>
                </c:pt>
                <c:pt idx="1">
                  <c:v>DIC 2011</c:v>
                </c:pt>
                <c:pt idx="2">
                  <c:v>DIC 2012</c:v>
                </c:pt>
                <c:pt idx="3">
                  <c:v>DIC 2013</c:v>
                </c:pt>
                <c:pt idx="4">
                  <c:v>DIC 2014</c:v>
                </c:pt>
              </c:strCache>
            </c:strRef>
          </c:cat>
          <c:val>
            <c:numRef>
              <c:f>'DATOS CALCULO INDICADORES'!$C$95:$AL$95</c:f>
              <c:numCache>
                <c:formatCode>0.00%</c:formatCode>
                <c:ptCount val="5"/>
                <c:pt idx="0">
                  <c:v>0.31528258849370638</c:v>
                </c:pt>
                <c:pt idx="1">
                  <c:v>0.28402278177458262</c:v>
                </c:pt>
                <c:pt idx="2">
                  <c:v>0.45890292438138108</c:v>
                </c:pt>
                <c:pt idx="3">
                  <c:v>0.50915185697563003</c:v>
                </c:pt>
                <c:pt idx="4">
                  <c:v>0.48540031397174505</c:v>
                </c:pt>
              </c:numCache>
            </c:numRef>
          </c:val>
        </c:ser>
        <c:gapWidth val="50"/>
        <c:axId val="166657024"/>
        <c:axId val="166699776"/>
      </c:barChart>
      <c:lineChart>
        <c:grouping val="standard"/>
        <c:ser>
          <c:idx val="1"/>
          <c:order val="1"/>
          <c:tx>
            <c:strRef>
              <c:f>'DATOS CALCULO INDICADORES'!$B$96</c:f>
              <c:strCache>
                <c:ptCount val="1"/>
                <c:pt idx="0">
                  <c:v>EXCELENTE</c:v>
                </c:pt>
              </c:strCache>
            </c:strRef>
          </c:tx>
          <c:spPr>
            <a:ln w="25400">
              <a:solidFill>
                <a:srgbClr val="008000"/>
              </a:solidFill>
              <a:prstDash val="solid"/>
            </a:ln>
          </c:spPr>
          <c:marker>
            <c:symbol val="none"/>
          </c:marker>
          <c:cat>
            <c:strRef>
              <c:f>'DATOS CALCULO INDICADORES'!$C$94:$AL$94</c:f>
              <c:strCache>
                <c:ptCount val="5"/>
                <c:pt idx="0">
                  <c:v>DIC 2010</c:v>
                </c:pt>
                <c:pt idx="1">
                  <c:v>DIC 2011</c:v>
                </c:pt>
                <c:pt idx="2">
                  <c:v>DIC 2012</c:v>
                </c:pt>
                <c:pt idx="3">
                  <c:v>DIC 2013</c:v>
                </c:pt>
                <c:pt idx="4">
                  <c:v>DIC 2014</c:v>
                </c:pt>
              </c:strCache>
            </c:strRef>
          </c:cat>
          <c:val>
            <c:numRef>
              <c:f>'DATOS CALCULO INDICADORES'!$C$96:$AL$96</c:f>
              <c:numCache>
                <c:formatCode>0.00%</c:formatCode>
                <c:ptCount val="5"/>
                <c:pt idx="0">
                  <c:v>0.23361190310542973</c:v>
                </c:pt>
                <c:pt idx="1">
                  <c:v>0.23361190310542973</c:v>
                </c:pt>
                <c:pt idx="2">
                  <c:v>0.23361190310542973</c:v>
                </c:pt>
                <c:pt idx="3">
                  <c:v>0.23361190310542973</c:v>
                </c:pt>
                <c:pt idx="4">
                  <c:v>0.23361190310542973</c:v>
                </c:pt>
              </c:numCache>
            </c:numRef>
          </c:val>
        </c:ser>
        <c:ser>
          <c:idx val="2"/>
          <c:order val="2"/>
          <c:tx>
            <c:strRef>
              <c:f>'DATOS CALCULO INDICADORES'!$B$97</c:f>
              <c:strCache>
                <c:ptCount val="1"/>
                <c:pt idx="0">
                  <c:v>REGULAR</c:v>
                </c:pt>
              </c:strCache>
            </c:strRef>
          </c:tx>
          <c:spPr>
            <a:ln w="25400">
              <a:solidFill>
                <a:srgbClr val="000080"/>
              </a:solidFill>
              <a:prstDash val="solid"/>
            </a:ln>
          </c:spPr>
          <c:marker>
            <c:symbol val="none"/>
          </c:marker>
          <c:cat>
            <c:strRef>
              <c:f>'DATOS CALCULO INDICADORES'!$C$94:$AL$94</c:f>
              <c:strCache>
                <c:ptCount val="5"/>
                <c:pt idx="0">
                  <c:v>DIC 2010</c:v>
                </c:pt>
                <c:pt idx="1">
                  <c:v>DIC 2011</c:v>
                </c:pt>
                <c:pt idx="2">
                  <c:v>DIC 2012</c:v>
                </c:pt>
                <c:pt idx="3">
                  <c:v>DIC 2013</c:v>
                </c:pt>
                <c:pt idx="4">
                  <c:v>DIC 2014</c:v>
                </c:pt>
              </c:strCache>
            </c:strRef>
          </c:cat>
          <c:val>
            <c:numRef>
              <c:f>'DATOS CALCULO INDICADORES'!$C$97:$AL$97</c:f>
              <c:numCache>
                <c:formatCode>0.00%</c:formatCode>
                <c:ptCount val="5"/>
                <c:pt idx="0">
                  <c:v>0.31148253747390675</c:v>
                </c:pt>
                <c:pt idx="1">
                  <c:v>0.31148253747390675</c:v>
                </c:pt>
                <c:pt idx="2">
                  <c:v>0.31148253747390675</c:v>
                </c:pt>
                <c:pt idx="3">
                  <c:v>0.31148253747390675</c:v>
                </c:pt>
                <c:pt idx="4">
                  <c:v>0.31148253747390675</c:v>
                </c:pt>
              </c:numCache>
            </c:numRef>
          </c:val>
        </c:ser>
        <c:ser>
          <c:idx val="3"/>
          <c:order val="3"/>
          <c:tx>
            <c:strRef>
              <c:f>'DATOS CALCULO INDICADORES'!$B$98</c:f>
              <c:strCache>
                <c:ptCount val="1"/>
                <c:pt idx="0">
                  <c:v>DEFICIENTE</c:v>
                </c:pt>
              </c:strCache>
            </c:strRef>
          </c:tx>
          <c:spPr>
            <a:ln w="25400">
              <a:solidFill>
                <a:srgbClr val="FF0000"/>
              </a:solidFill>
              <a:prstDash val="solid"/>
            </a:ln>
          </c:spPr>
          <c:marker>
            <c:symbol val="none"/>
          </c:marker>
          <c:cat>
            <c:strRef>
              <c:f>'DATOS CALCULO INDICADORES'!$C$94:$AL$94</c:f>
              <c:strCache>
                <c:ptCount val="5"/>
                <c:pt idx="0">
                  <c:v>DIC 2010</c:v>
                </c:pt>
                <c:pt idx="1">
                  <c:v>DIC 2011</c:v>
                </c:pt>
                <c:pt idx="2">
                  <c:v>DIC 2012</c:v>
                </c:pt>
                <c:pt idx="3">
                  <c:v>DIC 2013</c:v>
                </c:pt>
                <c:pt idx="4">
                  <c:v>DIC 2014</c:v>
                </c:pt>
              </c:strCache>
            </c:strRef>
          </c:cat>
          <c:val>
            <c:numRef>
              <c:f>'DATOS CALCULO INDICADORES'!$C$98:$AL$98</c:f>
              <c:numCache>
                <c:formatCode>0.00%</c:formatCode>
                <c:ptCount val="5"/>
                <c:pt idx="0">
                  <c:v>0.38935317184238316</c:v>
                </c:pt>
                <c:pt idx="1">
                  <c:v>0.38935317184238316</c:v>
                </c:pt>
                <c:pt idx="2">
                  <c:v>0.38935317184238316</c:v>
                </c:pt>
                <c:pt idx="3">
                  <c:v>0.38935317184238316</c:v>
                </c:pt>
                <c:pt idx="4">
                  <c:v>0.38935317184238316</c:v>
                </c:pt>
              </c:numCache>
            </c:numRef>
          </c:val>
        </c:ser>
        <c:marker val="1"/>
        <c:axId val="166657024"/>
        <c:axId val="166699776"/>
      </c:lineChart>
      <c:catAx>
        <c:axId val="166657024"/>
        <c:scaling>
          <c:orientation val="minMax"/>
        </c:scaling>
        <c:axPos val="b"/>
        <c:numFmt formatCode="@" sourceLinked="1"/>
        <c:tickLblPos val="nextTo"/>
        <c:spPr>
          <a:ln w="3175">
            <a:solidFill>
              <a:srgbClr val="000000"/>
            </a:solidFill>
            <a:prstDash val="solid"/>
          </a:ln>
        </c:spPr>
        <c:txPr>
          <a:bodyPr rot="0" vert="horz"/>
          <a:lstStyle/>
          <a:p>
            <a:pPr>
              <a:defRPr lang="es-ES" sz="875" b="1" i="0" u="none" strike="noStrike" baseline="0">
                <a:solidFill>
                  <a:srgbClr val="000000"/>
                </a:solidFill>
                <a:latin typeface="Arial"/>
                <a:ea typeface="Arial"/>
                <a:cs typeface="Arial"/>
              </a:defRPr>
            </a:pPr>
            <a:endParaRPr lang="es-ES"/>
          </a:p>
        </c:txPr>
        <c:crossAx val="166699776"/>
        <c:crosses val="autoZero"/>
        <c:auto val="1"/>
        <c:lblAlgn val="ctr"/>
        <c:lblOffset val="100"/>
        <c:tickLblSkip val="1"/>
        <c:tickMarkSkip val="1"/>
      </c:catAx>
      <c:valAx>
        <c:axId val="166699776"/>
        <c:scaling>
          <c:orientation val="minMax"/>
          <c:max val="0.60000000000000164"/>
          <c:min val="0"/>
        </c:scaling>
        <c:axPos val="l"/>
        <c:numFmt formatCode="0%" sourceLinked="0"/>
        <c:tickLblPos val="nextTo"/>
        <c:spPr>
          <a:ln w="3175">
            <a:solidFill>
              <a:srgbClr val="000000"/>
            </a:solidFill>
            <a:prstDash val="solid"/>
          </a:ln>
        </c:spPr>
        <c:txPr>
          <a:bodyPr rot="0" vert="horz"/>
          <a:lstStyle/>
          <a:p>
            <a:pPr>
              <a:defRPr lang="es-ES" sz="875" b="0" i="0" u="none" strike="noStrike" baseline="0">
                <a:solidFill>
                  <a:srgbClr val="000000"/>
                </a:solidFill>
                <a:latin typeface="Arial"/>
                <a:ea typeface="Arial"/>
                <a:cs typeface="Arial"/>
              </a:defRPr>
            </a:pPr>
            <a:endParaRPr lang="es-ES"/>
          </a:p>
        </c:txPr>
        <c:crossAx val="166657024"/>
        <c:crosses val="autoZero"/>
        <c:crossBetween val="between"/>
        <c:majorUnit val="0.30000000000000032"/>
        <c:minorUnit val="0.1"/>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316653950475761"/>
          <c:y val="2.0890615274076246E-2"/>
          <c:w val="0.66722542737051727"/>
          <c:h val="0.21943919571630272"/>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25" b="0" i="0" u="none" strike="noStrike" baseline="0">
          <a:solidFill>
            <a:srgbClr val="000000"/>
          </a:solidFill>
          <a:latin typeface="Arial"/>
          <a:ea typeface="Arial"/>
          <a:cs typeface="Arial"/>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es-ES"/>
  <c:roundedCorners val="1"/>
  <c:chart>
    <c:plotArea>
      <c:layout>
        <c:manualLayout>
          <c:layoutTarget val="inner"/>
          <c:xMode val="edge"/>
          <c:yMode val="edge"/>
          <c:x val="0.121588236648278"/>
          <c:y val="0.19649190135657021"/>
          <c:w val="0.86848740463056062"/>
          <c:h val="0.68421287079519899"/>
        </c:manualLayout>
      </c:layout>
      <c:barChart>
        <c:barDir val="col"/>
        <c:grouping val="clustered"/>
        <c:ser>
          <c:idx val="0"/>
          <c:order val="0"/>
          <c:tx>
            <c:strRef>
              <c:f>'DATOS CALCULO INDICADORES'!$B$100</c:f>
              <c:strCache>
                <c:ptCount val="1"/>
                <c:pt idx="0">
                  <c:v>Activos productivos/patrimonio</c:v>
                </c:pt>
              </c:strCache>
            </c:strRef>
          </c:tx>
          <c:spPr>
            <a:gradFill rotWithShape="0">
              <a:gsLst>
                <a:gs pos="0">
                  <a:srgbClr val="FF6600"/>
                </a:gs>
                <a:gs pos="100000">
                  <a:srgbClr val="FF6600">
                    <a:gamma/>
                    <a:shade val="46275"/>
                    <a:invGamma/>
                  </a:srgbClr>
                </a:gs>
              </a:gsLst>
              <a:lin ang="5400000" scaled="1"/>
            </a:gradFill>
            <a:ln w="12700">
              <a:solidFill>
                <a:srgbClr val="000000"/>
              </a:solidFill>
              <a:prstDash val="solid"/>
            </a:ln>
            <a:effectLst>
              <a:outerShdw dist="35921" dir="2700000" algn="br">
                <a:srgbClr val="000000"/>
              </a:outerShdw>
            </a:effectLst>
          </c:spPr>
          <c:dLbls>
            <c:dLbl>
              <c:idx val="0"/>
              <c:layout>
                <c:manualLayout>
                  <c:x val="2.8642716853036218E-3"/>
                  <c:y val="9.0009935198778767E-4"/>
                </c:manualLayout>
              </c:layout>
              <c:dLblPos val="outEnd"/>
              <c:showVal val="1"/>
            </c:dLbl>
            <c:dLbl>
              <c:idx val="1"/>
              <c:layout>
                <c:manualLayout>
                  <c:x val="6.7166913155661707E-3"/>
                  <c:y val="-8.9139133549926228E-3"/>
                </c:manualLayout>
              </c:layout>
              <c:dLblPos val="outEnd"/>
              <c:showVal val="1"/>
            </c:dLbl>
            <c:dLbl>
              <c:idx val="2"/>
              <c:layout>
                <c:manualLayout>
                  <c:x val="1.13094648260933E-2"/>
                  <c:y val="-1.5240891498732404E-2"/>
                </c:manualLayout>
              </c:layout>
              <c:dLblPos val="outEnd"/>
              <c:showVal val="1"/>
            </c:dLbl>
            <c:dLbl>
              <c:idx val="3"/>
              <c:layout>
                <c:manualLayout>
                  <c:x val="2.1238753674668012E-3"/>
                  <c:y val="-9.4147129913845946E-3"/>
                </c:manualLayout>
              </c:layout>
              <c:dLblPos val="outEnd"/>
              <c:showVal val="1"/>
            </c:dLbl>
            <c:dLbl>
              <c:idx val="4"/>
              <c:layout>
                <c:manualLayout>
                  <c:x val="2.4656162897354452E-3"/>
                  <c:y val="-8.4352803357208728E-3"/>
                </c:manualLayout>
              </c:layout>
              <c:dLblPos val="outEnd"/>
              <c:showVal val="1"/>
            </c:dLbl>
            <c:dLbl>
              <c:idx val="5"/>
              <c:layout>
                <c:manualLayout>
                  <c:x val="-7.272229929075307E-3"/>
                  <c:y val="-1.6746327761661597E-3"/>
                </c:manualLayout>
              </c:layout>
              <c:dLblPos val="outEnd"/>
              <c:showVal val="1"/>
            </c:dLbl>
            <c:dLbl>
              <c:idx val="6"/>
              <c:layout>
                <c:manualLayout>
                  <c:x val="-1.2301439987496604E-3"/>
                  <c:y val="-7.672882994888849E-3"/>
                </c:manualLayout>
              </c:layout>
              <c:dLblPos val="outEnd"/>
              <c:showVal val="1"/>
            </c:dLbl>
            <c:dLbl>
              <c:idx val="7"/>
              <c:layout>
                <c:manualLayout>
                  <c:xMode val="edge"/>
                  <c:yMode val="edge"/>
                  <c:x val="0.69478992370444803"/>
                  <c:y val="0.34736961132679617"/>
                </c:manualLayout>
              </c:layout>
              <c:dLblPos val="outEnd"/>
              <c:showVal val="1"/>
            </c:dLbl>
            <c:dLbl>
              <c:idx val="8"/>
              <c:layout>
                <c:manualLayout>
                  <c:xMode val="edge"/>
                  <c:yMode val="edge"/>
                  <c:x val="0.78660144933682263"/>
                  <c:y val="0.2385973087901232"/>
                </c:manualLayout>
              </c:layout>
              <c:dLblPos val="outEnd"/>
              <c:showVal val="1"/>
            </c:dLbl>
            <c:dLbl>
              <c:idx val="9"/>
              <c:layout>
                <c:manualLayout>
                  <c:xMode val="edge"/>
                  <c:yMode val="edge"/>
                  <c:x val="0.94541057475498058"/>
                  <c:y val="0.75438854985111659"/>
                </c:manualLayout>
              </c:layout>
              <c:dLblPos val="outEnd"/>
              <c:showVal val="1"/>
            </c:dLbl>
            <c:dLbl>
              <c:idx val="10"/>
              <c:layout>
                <c:manualLayout>
                  <c:xMode val="edge"/>
                  <c:yMode val="edge"/>
                  <c:x val="0.87345018979987699"/>
                  <c:y val="0.22807095693173288"/>
                </c:manualLayout>
              </c:layout>
              <c:dLblPos val="outEnd"/>
              <c:showVal val="1"/>
            </c:dLbl>
            <c:dLbl>
              <c:idx val="11"/>
              <c:dLblPos val="outEnd"/>
              <c:showVal val="1"/>
            </c:dLbl>
            <c:dLbl>
              <c:idx val="12"/>
              <c:layout>
                <c:manualLayout>
                  <c:xMode val="edge"/>
                  <c:yMode val="edge"/>
                  <c:x val="0.42928091714596833"/>
                  <c:y val="0.28070271622367132"/>
                </c:manualLayout>
              </c:layout>
              <c:dLblPos val="outEnd"/>
              <c:showVal val="1"/>
            </c:dLbl>
            <c:dLbl>
              <c:idx val="13"/>
              <c:layout>
                <c:manualLayout>
                  <c:xMode val="edge"/>
                  <c:yMode val="edge"/>
                  <c:x val="0.46650180591584933"/>
                  <c:y val="0.32982569156282243"/>
                </c:manualLayout>
              </c:layout>
              <c:dLblPos val="outEnd"/>
              <c:showVal val="1"/>
            </c:dLbl>
            <c:dLbl>
              <c:idx val="14"/>
              <c:layout>
                <c:manualLayout>
                  <c:xMode val="edge"/>
                  <c:yMode val="edge"/>
                  <c:x val="0.48883433917777552"/>
                  <c:y val="0.266667580412488"/>
                </c:manualLayout>
              </c:layout>
              <c:dLblPos val="outEnd"/>
              <c:showVal val="1"/>
            </c:dLbl>
            <c:dLbl>
              <c:idx val="15"/>
              <c:layout>
                <c:manualLayout>
                  <c:xMode val="edge"/>
                  <c:yMode val="edge"/>
                  <c:x val="0.55086915379423951"/>
                  <c:y val="0.27719393227087502"/>
                </c:manualLayout>
              </c:layout>
              <c:dLblPos val="outEnd"/>
              <c:showVal val="1"/>
            </c:dLbl>
            <c:dLbl>
              <c:idx val="16"/>
              <c:layout>
                <c:manualLayout>
                  <c:xMode val="edge"/>
                  <c:yMode val="edge"/>
                  <c:x val="0.54590636862492259"/>
                  <c:y val="0.33333447551561668"/>
                </c:manualLayout>
              </c:layout>
              <c:dLblPos val="outEnd"/>
              <c:showVal val="1"/>
            </c:dLbl>
            <c:dLbl>
              <c:idx val="17"/>
              <c:layout>
                <c:manualLayout>
                  <c:xMode val="edge"/>
                  <c:yMode val="edge"/>
                  <c:x val="0.61290396841071004"/>
                  <c:y val="0.26315879645969231"/>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 CALCULO INDICADORES'!$C$99:$AL$99</c:f>
              <c:strCache>
                <c:ptCount val="5"/>
                <c:pt idx="0">
                  <c:v>DIC 2010</c:v>
                </c:pt>
                <c:pt idx="1">
                  <c:v>DIC 2011</c:v>
                </c:pt>
                <c:pt idx="2">
                  <c:v>DIC 2012</c:v>
                </c:pt>
                <c:pt idx="3">
                  <c:v>DIC 2013</c:v>
                </c:pt>
                <c:pt idx="4">
                  <c:v>DIC 2014</c:v>
                </c:pt>
              </c:strCache>
            </c:strRef>
          </c:cat>
          <c:val>
            <c:numRef>
              <c:f>'DATOS CALCULO INDICADORES'!$C$100:$AL$100</c:f>
              <c:numCache>
                <c:formatCode>0.00%</c:formatCode>
                <c:ptCount val="5"/>
                <c:pt idx="0">
                  <c:v>5.2316465320604904</c:v>
                </c:pt>
                <c:pt idx="1">
                  <c:v>4.7385341726618702</c:v>
                </c:pt>
                <c:pt idx="2">
                  <c:v>3.4170271673299881</c:v>
                </c:pt>
                <c:pt idx="3">
                  <c:v>3.40502287964244</c:v>
                </c:pt>
                <c:pt idx="4">
                  <c:v>3.8125588697017134</c:v>
                </c:pt>
              </c:numCache>
            </c:numRef>
          </c:val>
        </c:ser>
        <c:gapWidth val="50"/>
        <c:axId val="167010688"/>
        <c:axId val="167012224"/>
      </c:barChart>
      <c:lineChart>
        <c:grouping val="standard"/>
        <c:ser>
          <c:idx val="1"/>
          <c:order val="1"/>
          <c:tx>
            <c:strRef>
              <c:f>'DATOS CALCULO INDICADORES'!$B$101</c:f>
              <c:strCache>
                <c:ptCount val="1"/>
                <c:pt idx="0">
                  <c:v>EXCELENTE</c:v>
                </c:pt>
              </c:strCache>
            </c:strRef>
          </c:tx>
          <c:spPr>
            <a:ln w="25400">
              <a:solidFill>
                <a:srgbClr val="008000"/>
              </a:solidFill>
              <a:prstDash val="solid"/>
            </a:ln>
          </c:spPr>
          <c:marker>
            <c:symbol val="none"/>
          </c:marker>
          <c:cat>
            <c:strRef>
              <c:f>'DATOS CALCULO INDICADORES'!$C$99:$AL$99</c:f>
              <c:strCache>
                <c:ptCount val="5"/>
                <c:pt idx="0">
                  <c:v>DIC 2010</c:v>
                </c:pt>
                <c:pt idx="1">
                  <c:v>DIC 2011</c:v>
                </c:pt>
                <c:pt idx="2">
                  <c:v>DIC 2012</c:v>
                </c:pt>
                <c:pt idx="3">
                  <c:v>DIC 2013</c:v>
                </c:pt>
                <c:pt idx="4">
                  <c:v>DIC 2014</c:v>
                </c:pt>
              </c:strCache>
            </c:strRef>
          </c:cat>
          <c:val>
            <c:numRef>
              <c:f>'DATOS CALCULO INDICADORES'!$C$101:$AL$101</c:f>
              <c:numCache>
                <c:formatCode>0.00%</c:formatCode>
                <c:ptCount val="5"/>
                <c:pt idx="0">
                  <c:v>3.32</c:v>
                </c:pt>
                <c:pt idx="1">
                  <c:v>3.32</c:v>
                </c:pt>
                <c:pt idx="2">
                  <c:v>3.32</c:v>
                </c:pt>
                <c:pt idx="3">
                  <c:v>3.32</c:v>
                </c:pt>
                <c:pt idx="4">
                  <c:v>3.32</c:v>
                </c:pt>
              </c:numCache>
            </c:numRef>
          </c:val>
        </c:ser>
        <c:ser>
          <c:idx val="2"/>
          <c:order val="2"/>
          <c:tx>
            <c:strRef>
              <c:f>'DATOS CALCULO INDICADORES'!$B$102</c:f>
              <c:strCache>
                <c:ptCount val="1"/>
                <c:pt idx="0">
                  <c:v>REGULAR</c:v>
                </c:pt>
              </c:strCache>
            </c:strRef>
          </c:tx>
          <c:spPr>
            <a:ln w="25400">
              <a:solidFill>
                <a:srgbClr val="000080"/>
              </a:solidFill>
              <a:prstDash val="solid"/>
            </a:ln>
          </c:spPr>
          <c:marker>
            <c:symbol val="none"/>
          </c:marker>
          <c:cat>
            <c:strRef>
              <c:f>'DATOS CALCULO INDICADORES'!$C$99:$AL$99</c:f>
              <c:strCache>
                <c:ptCount val="5"/>
                <c:pt idx="0">
                  <c:v>DIC 2010</c:v>
                </c:pt>
                <c:pt idx="1">
                  <c:v>DIC 2011</c:v>
                </c:pt>
                <c:pt idx="2">
                  <c:v>DIC 2012</c:v>
                </c:pt>
                <c:pt idx="3">
                  <c:v>DIC 2013</c:v>
                </c:pt>
                <c:pt idx="4">
                  <c:v>DIC 2014</c:v>
                </c:pt>
              </c:strCache>
            </c:strRef>
          </c:cat>
          <c:val>
            <c:numRef>
              <c:f>'DATOS CALCULO INDICADORES'!$C$102:$AL$102</c:f>
              <c:numCache>
                <c:formatCode>0.00%</c:formatCode>
                <c:ptCount val="5"/>
                <c:pt idx="0">
                  <c:v>2.6559999999999997</c:v>
                </c:pt>
                <c:pt idx="1">
                  <c:v>2.6559999999999997</c:v>
                </c:pt>
                <c:pt idx="2">
                  <c:v>2.6559999999999997</c:v>
                </c:pt>
                <c:pt idx="3">
                  <c:v>2.6559999999999997</c:v>
                </c:pt>
                <c:pt idx="4">
                  <c:v>2.6559999999999997</c:v>
                </c:pt>
              </c:numCache>
            </c:numRef>
          </c:val>
        </c:ser>
        <c:ser>
          <c:idx val="3"/>
          <c:order val="3"/>
          <c:tx>
            <c:strRef>
              <c:f>'DATOS CALCULO INDICADORES'!$B$103</c:f>
              <c:strCache>
                <c:ptCount val="1"/>
                <c:pt idx="0">
                  <c:v>DEFICIENTE</c:v>
                </c:pt>
              </c:strCache>
            </c:strRef>
          </c:tx>
          <c:spPr>
            <a:ln w="25400">
              <a:solidFill>
                <a:srgbClr val="FF0000"/>
              </a:solidFill>
              <a:prstDash val="solid"/>
            </a:ln>
          </c:spPr>
          <c:marker>
            <c:symbol val="none"/>
          </c:marker>
          <c:cat>
            <c:strRef>
              <c:f>'DATOS CALCULO INDICADORES'!$C$99:$AL$99</c:f>
              <c:strCache>
                <c:ptCount val="5"/>
                <c:pt idx="0">
                  <c:v>DIC 2010</c:v>
                </c:pt>
                <c:pt idx="1">
                  <c:v>DIC 2011</c:v>
                </c:pt>
                <c:pt idx="2">
                  <c:v>DIC 2012</c:v>
                </c:pt>
                <c:pt idx="3">
                  <c:v>DIC 2013</c:v>
                </c:pt>
                <c:pt idx="4">
                  <c:v>DIC 2014</c:v>
                </c:pt>
              </c:strCache>
            </c:strRef>
          </c:cat>
          <c:val>
            <c:numRef>
              <c:f>'DATOS CALCULO INDICADORES'!$C$103:$AL$103</c:f>
              <c:numCache>
                <c:formatCode>0.00%</c:formatCode>
                <c:ptCount val="5"/>
                <c:pt idx="0">
                  <c:v>1.9920000000000051</c:v>
                </c:pt>
                <c:pt idx="1">
                  <c:v>1.9920000000000051</c:v>
                </c:pt>
                <c:pt idx="2">
                  <c:v>1.9920000000000051</c:v>
                </c:pt>
                <c:pt idx="3">
                  <c:v>1.9920000000000051</c:v>
                </c:pt>
                <c:pt idx="4">
                  <c:v>1.9920000000000051</c:v>
                </c:pt>
              </c:numCache>
            </c:numRef>
          </c:val>
        </c:ser>
        <c:marker val="1"/>
        <c:axId val="167010688"/>
        <c:axId val="167012224"/>
      </c:lineChart>
      <c:catAx>
        <c:axId val="167010688"/>
        <c:scaling>
          <c:orientation val="minMax"/>
        </c:scaling>
        <c:axPos val="b"/>
        <c:numFmt formatCode="@" sourceLinked="1"/>
        <c:tickLblPos val="nextTo"/>
        <c:spPr>
          <a:ln w="3175">
            <a:solidFill>
              <a:srgbClr val="000000"/>
            </a:solidFill>
            <a:prstDash val="solid"/>
          </a:ln>
        </c:spPr>
        <c:txPr>
          <a:bodyPr rot="0" vert="horz"/>
          <a:lstStyle/>
          <a:p>
            <a:pPr>
              <a:defRPr lang="es-ES" sz="875" b="1" i="0" u="none" strike="noStrike" baseline="0">
                <a:solidFill>
                  <a:srgbClr val="000000"/>
                </a:solidFill>
                <a:latin typeface="Arial"/>
                <a:ea typeface="Arial"/>
                <a:cs typeface="Arial"/>
              </a:defRPr>
            </a:pPr>
            <a:endParaRPr lang="es-ES"/>
          </a:p>
        </c:txPr>
        <c:crossAx val="167012224"/>
        <c:crosses val="autoZero"/>
        <c:auto val="1"/>
        <c:lblAlgn val="ctr"/>
        <c:lblOffset val="100"/>
        <c:tickLblSkip val="1"/>
        <c:tickMarkSkip val="1"/>
      </c:catAx>
      <c:valAx>
        <c:axId val="167012224"/>
        <c:scaling>
          <c:orientation val="minMax"/>
          <c:max val="7"/>
          <c:min val="1.8"/>
        </c:scaling>
        <c:axPos val="l"/>
        <c:numFmt formatCode="0%" sourceLinked="0"/>
        <c:tickLblPos val="nextTo"/>
        <c:spPr>
          <a:ln w="3175">
            <a:solidFill>
              <a:srgbClr val="000000"/>
            </a:solidFill>
            <a:prstDash val="solid"/>
          </a:ln>
        </c:spPr>
        <c:txPr>
          <a:bodyPr rot="0" vert="horz"/>
          <a:lstStyle/>
          <a:p>
            <a:pPr>
              <a:defRPr lang="es-ES" sz="875" b="0" i="0" u="none" strike="noStrike" baseline="0">
                <a:solidFill>
                  <a:srgbClr val="000000"/>
                </a:solidFill>
                <a:latin typeface="Arial"/>
                <a:ea typeface="Arial"/>
                <a:cs typeface="Arial"/>
              </a:defRPr>
            </a:pPr>
            <a:endParaRPr lang="es-ES"/>
          </a:p>
        </c:txPr>
        <c:crossAx val="167010688"/>
        <c:crosses val="autoZero"/>
        <c:crossBetween val="between"/>
        <c:majorUnit val="1"/>
        <c:minorUnit val="0.25"/>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3.7220888769881111E-2"/>
          <c:y val="1.7543919763979503E-2"/>
          <c:w val="0.82630373069136098"/>
          <c:h val="0.18947433345098108"/>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CO"/>
            </a:pPr>
            <a:r>
              <a:rPr lang="en-US"/>
              <a:t>GENERALIDADES DEL SERVICIO</a:t>
            </a:r>
          </a:p>
        </c:rich>
      </c:tx>
      <c:layout>
        <c:manualLayout>
          <c:xMode val="edge"/>
          <c:yMode val="edge"/>
          <c:x val="0.11136811023622002"/>
          <c:y val="2.3148148148148077E-2"/>
        </c:manualLayout>
      </c:layout>
    </c:title>
    <c:view3D>
      <c:rAngAx val="1"/>
    </c:view3D>
    <c:plotArea>
      <c:layout/>
      <c:bar3DChart>
        <c:barDir val="col"/>
        <c:grouping val="clustered"/>
        <c:ser>
          <c:idx val="0"/>
          <c:order val="0"/>
          <c:tx>
            <c:strRef>
              <c:f>Hoja1!$B$23</c:f>
              <c:strCache>
                <c:ptCount val="1"/>
                <c:pt idx="0">
                  <c:v>SATISFACCION DE LAS ESPECTATIVAS DE SU ENTIDAD CON RESPECTO A IDESAN </c:v>
                </c:pt>
              </c:strCache>
            </c:strRef>
          </c:tx>
          <c:dLbls>
            <c:txPr>
              <a:bodyPr/>
              <a:lstStyle/>
              <a:p>
                <a:pPr>
                  <a:defRPr lang="es-CO"/>
                </a:pPr>
                <a:endParaRPr lang="es-ES"/>
              </a:p>
            </c:txPr>
            <c:showVal val="1"/>
          </c:dLbls>
          <c:cat>
            <c:strRef>
              <c:f>Hoja1!$C$22:$G$22</c:f>
              <c:strCache>
                <c:ptCount val="5"/>
                <c:pt idx="0">
                  <c:v>DEFICIENTE</c:v>
                </c:pt>
                <c:pt idx="1">
                  <c:v>REGULAR</c:v>
                </c:pt>
                <c:pt idx="2">
                  <c:v>BUENO</c:v>
                </c:pt>
                <c:pt idx="3">
                  <c:v>EXCELENTE</c:v>
                </c:pt>
                <c:pt idx="4">
                  <c:v>NO RESPONDE</c:v>
                </c:pt>
              </c:strCache>
            </c:strRef>
          </c:cat>
          <c:val>
            <c:numRef>
              <c:f>Hoja1!$C$23:$G$23</c:f>
              <c:numCache>
                <c:formatCode>General</c:formatCode>
                <c:ptCount val="5"/>
                <c:pt idx="0">
                  <c:v>0</c:v>
                </c:pt>
                <c:pt idx="1">
                  <c:v>0</c:v>
                </c:pt>
                <c:pt idx="2">
                  <c:v>6</c:v>
                </c:pt>
                <c:pt idx="3">
                  <c:v>3</c:v>
                </c:pt>
                <c:pt idx="4">
                  <c:v>1</c:v>
                </c:pt>
              </c:numCache>
            </c:numRef>
          </c:val>
        </c:ser>
        <c:shape val="box"/>
        <c:axId val="164436224"/>
        <c:axId val="164466688"/>
        <c:axId val="0"/>
      </c:bar3DChart>
      <c:catAx>
        <c:axId val="164436224"/>
        <c:scaling>
          <c:orientation val="minMax"/>
        </c:scaling>
        <c:axPos val="b"/>
        <c:majorTickMark val="none"/>
        <c:tickLblPos val="nextTo"/>
        <c:txPr>
          <a:bodyPr/>
          <a:lstStyle/>
          <a:p>
            <a:pPr>
              <a:defRPr lang="es-CO"/>
            </a:pPr>
            <a:endParaRPr lang="es-ES"/>
          </a:p>
        </c:txPr>
        <c:crossAx val="164466688"/>
        <c:crosses val="autoZero"/>
        <c:auto val="1"/>
        <c:lblAlgn val="ctr"/>
        <c:lblOffset val="100"/>
      </c:catAx>
      <c:valAx>
        <c:axId val="164466688"/>
        <c:scaling>
          <c:orientation val="minMax"/>
        </c:scaling>
        <c:axPos val="l"/>
        <c:majorGridlines/>
        <c:numFmt formatCode="General" sourceLinked="1"/>
        <c:majorTickMark val="none"/>
        <c:tickLblPos val="nextTo"/>
        <c:txPr>
          <a:bodyPr/>
          <a:lstStyle/>
          <a:p>
            <a:pPr>
              <a:defRPr lang="es-CO"/>
            </a:pPr>
            <a:endParaRPr lang="es-ES"/>
          </a:p>
        </c:txPr>
        <c:crossAx val="164436224"/>
        <c:crosses val="autoZero"/>
        <c:crossBetween val="between"/>
      </c:valAx>
    </c:plotArea>
    <c:legend>
      <c:legendPos val="r"/>
      <c:layout>
        <c:manualLayout>
          <c:xMode val="edge"/>
          <c:yMode val="edge"/>
          <c:x val="0.64576402893498364"/>
          <c:y val="0.41408323959505156"/>
          <c:w val="0.34005325034642503"/>
          <c:h val="0.23213593493121051"/>
        </c:manualLayout>
      </c:layout>
      <c:txPr>
        <a:bodyPr/>
        <a:lstStyle/>
        <a:p>
          <a:pPr>
            <a:defRPr lang="es-CO"/>
          </a:pPr>
          <a:endParaRPr lang="es-ES"/>
        </a:p>
      </c:txPr>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1638968368384785"/>
          <c:y val="0.13513513513513661"/>
          <c:w val="0.86698437846132104"/>
          <c:h val="0.75000000000000533"/>
        </c:manualLayout>
      </c:layout>
      <c:barChart>
        <c:barDir val="col"/>
        <c:grouping val="clustered"/>
        <c:ser>
          <c:idx val="0"/>
          <c:order val="0"/>
          <c:tx>
            <c:strRef>
              <c:f>'DATOS CALCULO INDICADORES'!$B$105</c:f>
              <c:strCache>
                <c:ptCount val="1"/>
                <c:pt idx="0">
                  <c:v>Activos productivos/pasivos con costo</c:v>
                </c:pt>
              </c:strCache>
            </c:strRef>
          </c:tx>
          <c:spPr>
            <a:gradFill rotWithShape="0">
              <a:gsLst>
                <a:gs pos="0">
                  <a:srgbClr val="808000"/>
                </a:gs>
                <a:gs pos="100000">
                  <a:srgbClr val="808000">
                    <a:gamma/>
                    <a:shade val="46275"/>
                    <a:invGamma/>
                  </a:srgbClr>
                </a:gs>
              </a:gsLst>
              <a:lin ang="5400000" scaled="1"/>
            </a:gradFill>
            <a:ln w="12700">
              <a:solidFill>
                <a:srgbClr val="000000"/>
              </a:solidFill>
              <a:prstDash val="solid"/>
            </a:ln>
            <a:effectLst>
              <a:outerShdw dist="35921" dir="2700000" algn="br">
                <a:srgbClr val="000000"/>
              </a:outerShdw>
            </a:effectLst>
          </c:spPr>
          <c:dLbls>
            <c:dLbl>
              <c:idx val="1"/>
              <c:layout>
                <c:manualLayout>
                  <c:x val="2.4845266434719297E-3"/>
                  <c:y val="-1.2190182549411101E-2"/>
                </c:manualLayout>
              </c:layout>
              <c:dLblPos val="outEnd"/>
              <c:showVal val="1"/>
            </c:dLbl>
            <c:dLbl>
              <c:idx val="3"/>
              <c:layout>
                <c:manualLayout>
                  <c:x val="9.1919672831593663E-3"/>
                  <c:y val="-3.1949983138579614E-2"/>
                </c:manualLayout>
              </c:layout>
              <c:dLblPos val="outEnd"/>
              <c:showVal val="1"/>
            </c:dLbl>
            <c:dLbl>
              <c:idx val="4"/>
              <c:layout>
                <c:manualLayout>
                  <c:x val="4.6614173228346524E-3"/>
                  <c:y val="-6.2335511935924142E-3"/>
                </c:manualLayout>
              </c:layout>
              <c:dLblPos val="outEnd"/>
              <c:showVal val="1"/>
            </c:dLbl>
            <c:dLbl>
              <c:idx val="5"/>
              <c:layout>
                <c:manualLayout>
                  <c:x val="2.3301101614079812E-2"/>
                  <c:y val="5.5121657090161013E-3"/>
                </c:manualLayout>
              </c:layout>
              <c:dLblPos val="outEnd"/>
              <c:showVal val="1"/>
            </c:dLbl>
            <c:dLbl>
              <c:idx val="6"/>
              <c:layout>
                <c:manualLayout>
                  <c:x val="-1.2139325814677103E-2"/>
                  <c:y val="1.0372064978364199E-2"/>
                </c:manualLayout>
              </c:layout>
              <c:dLblPos val="outEnd"/>
              <c:showVal val="1"/>
            </c:dLbl>
            <c:dLbl>
              <c:idx val="8"/>
              <c:layout>
                <c:manualLayout>
                  <c:xMode val="edge"/>
                  <c:yMode val="edge"/>
                  <c:x val="0.79097478911676256"/>
                  <c:y val="0.27027027027027334"/>
                </c:manualLayout>
              </c:layout>
              <c:dLblPos val="outEnd"/>
              <c:showVal val="1"/>
            </c:dLbl>
            <c:dLbl>
              <c:idx val="10"/>
              <c:layout>
                <c:manualLayout>
                  <c:xMode val="edge"/>
                  <c:yMode val="edge"/>
                  <c:x val="0.87886087679641356"/>
                  <c:y val="0.24662162162162188"/>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dLblPos val="outEnd"/>
            <c:showVal val="1"/>
          </c:dLbls>
          <c:trendline>
            <c:spPr>
              <a:ln w="12700">
                <a:solidFill>
                  <a:srgbClr val="000000"/>
                </a:solidFill>
                <a:prstDash val="solid"/>
              </a:ln>
            </c:spPr>
            <c:trendlineType val="linear"/>
          </c:trendline>
          <c:cat>
            <c:strRef>
              <c:f>'DATOS CALCULO INDICADORES'!$C$104:$AL$104</c:f>
              <c:strCache>
                <c:ptCount val="5"/>
                <c:pt idx="0">
                  <c:v>DIC 2010</c:v>
                </c:pt>
                <c:pt idx="1">
                  <c:v>DIC 2011</c:v>
                </c:pt>
                <c:pt idx="2">
                  <c:v>DIC 2012</c:v>
                </c:pt>
                <c:pt idx="3">
                  <c:v>DIC 2013</c:v>
                </c:pt>
                <c:pt idx="4">
                  <c:v>DIC 2014</c:v>
                </c:pt>
              </c:strCache>
            </c:strRef>
          </c:cat>
          <c:val>
            <c:numRef>
              <c:f>'DATOS CALCULO INDICADORES'!$C$105:$AL$105</c:f>
              <c:numCache>
                <c:formatCode>0.00%</c:formatCode>
                <c:ptCount val="5"/>
                <c:pt idx="0">
                  <c:v>1.137151566344712</c:v>
                </c:pt>
                <c:pt idx="1">
                  <c:v>1.16843447409269</c:v>
                </c:pt>
                <c:pt idx="2">
                  <c:v>1.199259079314952</c:v>
                </c:pt>
                <c:pt idx="3">
                  <c:v>1.1657740372353944</c:v>
                </c:pt>
                <c:pt idx="4">
                  <c:v>1.1631968835813271</c:v>
                </c:pt>
              </c:numCache>
            </c:numRef>
          </c:val>
        </c:ser>
        <c:gapWidth val="50"/>
        <c:axId val="167077376"/>
        <c:axId val="167078912"/>
      </c:barChart>
      <c:lineChart>
        <c:grouping val="standard"/>
        <c:ser>
          <c:idx val="1"/>
          <c:order val="1"/>
          <c:tx>
            <c:strRef>
              <c:f>'DATOS CALCULO INDICADORES'!$B$106</c:f>
              <c:strCache>
                <c:ptCount val="1"/>
                <c:pt idx="0">
                  <c:v>EXCELENTE</c:v>
                </c:pt>
              </c:strCache>
            </c:strRef>
          </c:tx>
          <c:spPr>
            <a:ln w="25400">
              <a:solidFill>
                <a:srgbClr val="008000"/>
              </a:solidFill>
              <a:prstDash val="solid"/>
            </a:ln>
          </c:spPr>
          <c:marker>
            <c:symbol val="none"/>
          </c:marker>
          <c:cat>
            <c:strRef>
              <c:f>'DATOS CALCULO INDICADORES'!$C$104:$AL$104</c:f>
              <c:strCache>
                <c:ptCount val="5"/>
                <c:pt idx="0">
                  <c:v>DIC 2010</c:v>
                </c:pt>
                <c:pt idx="1">
                  <c:v>DIC 2011</c:v>
                </c:pt>
                <c:pt idx="2">
                  <c:v>DIC 2012</c:v>
                </c:pt>
                <c:pt idx="3">
                  <c:v>DIC 2013</c:v>
                </c:pt>
                <c:pt idx="4">
                  <c:v>DIC 2014</c:v>
                </c:pt>
              </c:strCache>
            </c:strRef>
          </c:cat>
          <c:val>
            <c:numRef>
              <c:f>'DATOS CALCULO INDICADORES'!$C$106:$AL$106</c:f>
              <c:numCache>
                <c:formatCode>0.00%</c:formatCode>
                <c:ptCount val="5"/>
                <c:pt idx="0">
                  <c:v>1.1900000000000046</c:v>
                </c:pt>
                <c:pt idx="1">
                  <c:v>1.1900000000000046</c:v>
                </c:pt>
                <c:pt idx="2">
                  <c:v>1.1900000000000046</c:v>
                </c:pt>
                <c:pt idx="3">
                  <c:v>1.1900000000000046</c:v>
                </c:pt>
                <c:pt idx="4">
                  <c:v>1.1900000000000046</c:v>
                </c:pt>
              </c:numCache>
            </c:numRef>
          </c:val>
        </c:ser>
        <c:ser>
          <c:idx val="2"/>
          <c:order val="2"/>
          <c:tx>
            <c:strRef>
              <c:f>'DATOS CALCULO INDICADORES'!$B$107</c:f>
              <c:strCache>
                <c:ptCount val="1"/>
                <c:pt idx="0">
                  <c:v>REGULAR</c:v>
                </c:pt>
              </c:strCache>
            </c:strRef>
          </c:tx>
          <c:spPr>
            <a:ln w="25400">
              <a:solidFill>
                <a:srgbClr val="000080"/>
              </a:solidFill>
              <a:prstDash val="solid"/>
            </a:ln>
          </c:spPr>
          <c:marker>
            <c:symbol val="none"/>
          </c:marker>
          <c:cat>
            <c:strRef>
              <c:f>'DATOS CALCULO INDICADORES'!$C$104:$AL$104</c:f>
              <c:strCache>
                <c:ptCount val="5"/>
                <c:pt idx="0">
                  <c:v>DIC 2010</c:v>
                </c:pt>
                <c:pt idx="1">
                  <c:v>DIC 2011</c:v>
                </c:pt>
                <c:pt idx="2">
                  <c:v>DIC 2012</c:v>
                </c:pt>
                <c:pt idx="3">
                  <c:v>DIC 2013</c:v>
                </c:pt>
                <c:pt idx="4">
                  <c:v>DIC 2014</c:v>
                </c:pt>
              </c:strCache>
            </c:strRef>
          </c:cat>
          <c:val>
            <c:numRef>
              <c:f>'DATOS CALCULO INDICADORES'!$C$107:$AL$107</c:f>
              <c:numCache>
                <c:formatCode>0.00%</c:formatCode>
                <c:ptCount val="5"/>
                <c:pt idx="0">
                  <c:v>0.95200000000000062</c:v>
                </c:pt>
                <c:pt idx="1">
                  <c:v>0.95200000000000062</c:v>
                </c:pt>
                <c:pt idx="2">
                  <c:v>0.95200000000000062</c:v>
                </c:pt>
                <c:pt idx="3">
                  <c:v>0.95200000000000062</c:v>
                </c:pt>
                <c:pt idx="4">
                  <c:v>0.95200000000000062</c:v>
                </c:pt>
              </c:numCache>
            </c:numRef>
          </c:val>
        </c:ser>
        <c:ser>
          <c:idx val="3"/>
          <c:order val="3"/>
          <c:tx>
            <c:strRef>
              <c:f>'DATOS CALCULO INDICADORES'!$B$108</c:f>
              <c:strCache>
                <c:ptCount val="1"/>
                <c:pt idx="0">
                  <c:v>DEFICIENTE</c:v>
                </c:pt>
              </c:strCache>
            </c:strRef>
          </c:tx>
          <c:spPr>
            <a:ln w="25400">
              <a:solidFill>
                <a:srgbClr val="FF0000"/>
              </a:solidFill>
              <a:prstDash val="solid"/>
            </a:ln>
          </c:spPr>
          <c:marker>
            <c:symbol val="none"/>
          </c:marker>
          <c:cat>
            <c:strRef>
              <c:f>'DATOS CALCULO INDICADORES'!$C$104:$AL$104</c:f>
              <c:strCache>
                <c:ptCount val="5"/>
                <c:pt idx="0">
                  <c:v>DIC 2010</c:v>
                </c:pt>
                <c:pt idx="1">
                  <c:v>DIC 2011</c:v>
                </c:pt>
                <c:pt idx="2">
                  <c:v>DIC 2012</c:v>
                </c:pt>
                <c:pt idx="3">
                  <c:v>DIC 2013</c:v>
                </c:pt>
                <c:pt idx="4">
                  <c:v>DIC 2014</c:v>
                </c:pt>
              </c:strCache>
            </c:strRef>
          </c:cat>
          <c:val>
            <c:numRef>
              <c:f>'DATOS CALCULO INDICADORES'!$C$108:$AL$108</c:f>
              <c:numCache>
                <c:formatCode>0.00%</c:formatCode>
                <c:ptCount val="5"/>
                <c:pt idx="0">
                  <c:v>0.71400000000000063</c:v>
                </c:pt>
                <c:pt idx="1">
                  <c:v>0.71400000000000063</c:v>
                </c:pt>
                <c:pt idx="2">
                  <c:v>0.71400000000000063</c:v>
                </c:pt>
                <c:pt idx="3">
                  <c:v>0.71400000000000063</c:v>
                </c:pt>
                <c:pt idx="4">
                  <c:v>0.71400000000000063</c:v>
                </c:pt>
              </c:numCache>
            </c:numRef>
          </c:val>
        </c:ser>
        <c:marker val="1"/>
        <c:axId val="167077376"/>
        <c:axId val="167078912"/>
      </c:lineChart>
      <c:catAx>
        <c:axId val="167077376"/>
        <c:scaling>
          <c:orientation val="minMax"/>
        </c:scaling>
        <c:axPos val="b"/>
        <c:numFmt formatCode="@"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Arial"/>
                <a:ea typeface="Arial"/>
                <a:cs typeface="Arial"/>
              </a:defRPr>
            </a:pPr>
            <a:endParaRPr lang="es-ES"/>
          </a:p>
        </c:txPr>
        <c:crossAx val="167078912"/>
        <c:crosses val="autoZero"/>
        <c:auto val="1"/>
        <c:lblAlgn val="ctr"/>
        <c:lblOffset val="100"/>
        <c:tickLblSkip val="1"/>
        <c:tickMarkSkip val="1"/>
      </c:catAx>
      <c:valAx>
        <c:axId val="167078912"/>
        <c:scaling>
          <c:orientation val="minMax"/>
          <c:max val="1.5"/>
          <c:min val="0.60000000000000164"/>
        </c:scaling>
        <c:axPos val="l"/>
        <c:numFmt formatCode="0%" sourceLinked="0"/>
        <c:tickLblPos val="nextTo"/>
        <c:spPr>
          <a:ln w="3175">
            <a:solidFill>
              <a:srgbClr val="000000"/>
            </a:solidFill>
            <a:prstDash val="solid"/>
          </a:ln>
        </c:spPr>
        <c:txPr>
          <a:bodyPr rot="0" vert="horz"/>
          <a:lstStyle/>
          <a:p>
            <a:pPr>
              <a:defRPr lang="es-ES" sz="900" b="0" i="0" u="none" strike="noStrike" baseline="0">
                <a:solidFill>
                  <a:srgbClr val="000000"/>
                </a:solidFill>
                <a:latin typeface="Arial"/>
                <a:ea typeface="Arial"/>
                <a:cs typeface="Arial"/>
              </a:defRPr>
            </a:pPr>
            <a:endParaRPr lang="es-ES"/>
          </a:p>
        </c:txPr>
        <c:crossAx val="167077376"/>
        <c:crosses val="autoZero"/>
        <c:crossBetween val="between"/>
        <c:majorUnit val="0.30000000000000032"/>
        <c:minorUnit val="0.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19952517202945497"/>
          <c:y val="2.7027027027027473E-2"/>
          <c:w val="0.79097478911676256"/>
          <c:h val="0.16216216216216361"/>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0000023251542202"/>
          <c:y val="0.233108108108108"/>
          <c:w val="0.88333538721955696"/>
          <c:h val="0.63851351351352104"/>
        </c:manualLayout>
      </c:layout>
      <c:barChart>
        <c:barDir val="col"/>
        <c:grouping val="clustered"/>
        <c:ser>
          <c:idx val="0"/>
          <c:order val="0"/>
          <c:tx>
            <c:strRef>
              <c:f>'DATOS CALCULO INDICADORES'!$B$115</c:f>
              <c:strCache>
                <c:ptCount val="1"/>
                <c:pt idx="0">
                  <c:v>Patrimonio/total Activo</c:v>
                </c:pt>
              </c:strCache>
            </c:strRef>
          </c:tx>
          <c:spPr>
            <a:gradFill rotWithShape="0">
              <a:gsLst>
                <a:gs pos="0">
                  <a:srgbClr val="0000FF"/>
                </a:gs>
                <a:gs pos="100000">
                  <a:srgbClr val="0000FF">
                    <a:gamma/>
                    <a:shade val="46275"/>
                    <a:invGamma/>
                  </a:srgbClr>
                </a:gs>
              </a:gsLst>
              <a:lin ang="5400000" scaled="1"/>
            </a:gradFill>
            <a:ln w="12700">
              <a:solidFill>
                <a:srgbClr val="000000"/>
              </a:solidFill>
              <a:prstDash val="solid"/>
            </a:ln>
            <a:effectLst>
              <a:outerShdw dist="35921" dir="2700000" algn="br">
                <a:srgbClr val="000000"/>
              </a:outerShdw>
            </a:effectLst>
          </c:spPr>
          <c:dLbls>
            <c:dLbl>
              <c:idx val="0"/>
              <c:layout>
                <c:manualLayout>
                  <c:x val="-9.8136617162743224E-3"/>
                  <c:y val="-1.4938683310405402E-2"/>
                </c:manualLayout>
              </c:layout>
              <c:dLblPos val="outEnd"/>
              <c:showVal val="1"/>
            </c:dLbl>
            <c:dLbl>
              <c:idx val="1"/>
              <c:layout>
                <c:manualLayout>
                  <c:x val="-6.3450820545340736E-3"/>
                  <c:y val="-5.2695963680215313E-2"/>
                </c:manualLayout>
              </c:layout>
              <c:dLblPos val="outEnd"/>
              <c:showVal val="1"/>
            </c:dLbl>
            <c:dLbl>
              <c:idx val="2"/>
              <c:layout>
                <c:manualLayout>
                  <c:x val="-3.6664066606047411E-3"/>
                  <c:y val="-7.3439384266155899E-2"/>
                </c:manualLayout>
              </c:layout>
              <c:dLblPos val="outEnd"/>
              <c:showVal val="1"/>
            </c:dLbl>
            <c:dLbl>
              <c:idx val="3"/>
              <c:layout>
                <c:manualLayout>
                  <c:x val="-1.2853393325833707E-3"/>
                  <c:y val="-1.1430800879619805E-2"/>
                </c:manualLayout>
              </c:layout>
              <c:dLblPos val="outEnd"/>
              <c:showVal val="1"/>
            </c:dLbl>
            <c:dLbl>
              <c:idx val="5"/>
              <c:layout>
                <c:manualLayout>
                  <c:x val="-1.0294463192100999E-2"/>
                  <c:y val="1.2489182095481301E-2"/>
                </c:manualLayout>
              </c:layout>
              <c:dLblPos val="outEnd"/>
              <c:showVal val="1"/>
            </c:dLbl>
            <c:dLbl>
              <c:idx val="6"/>
              <c:layout>
                <c:manualLayout>
                  <c:x val="-4.9371328583925908E-3"/>
                  <c:y val="-1.5054621550684499E-2"/>
                </c:manualLayout>
              </c:layout>
              <c:dLblPos val="outEnd"/>
              <c:showVal val="1"/>
            </c:dLbl>
            <c:dLbl>
              <c:idx val="7"/>
              <c:layout>
                <c:manualLayout>
                  <c:xMode val="edge"/>
                  <c:yMode val="edge"/>
                  <c:x val="0.70238258552498356"/>
                  <c:y val="0.42905405405405717"/>
                </c:manualLayout>
              </c:layout>
              <c:dLblPos val="outEnd"/>
              <c:showVal val="1"/>
            </c:dLbl>
            <c:dLbl>
              <c:idx val="8"/>
              <c:layout>
                <c:manualLayout>
                  <c:xMode val="edge"/>
                  <c:yMode val="edge"/>
                  <c:x val="0.77143036511896557"/>
                  <c:y val="0.358108108108108"/>
                </c:manualLayout>
              </c:layout>
              <c:dLblPos val="outEnd"/>
              <c:showVal val="1"/>
            </c:dLbl>
            <c:dLbl>
              <c:idx val="10"/>
              <c:layout>
                <c:manualLayout>
                  <c:xMode val="edge"/>
                  <c:yMode val="edge"/>
                  <c:x val="0.8904782609706513"/>
                  <c:y val="0.38175675675675702"/>
                </c:manualLayout>
              </c:layout>
              <c:dLblPos val="outEnd"/>
              <c:showVal val="1"/>
            </c:dLbl>
            <c:spPr>
              <a:noFill/>
              <a:ln w="25400">
                <a:noFill/>
              </a:ln>
            </c:spPr>
            <c:txPr>
              <a:bodyPr/>
              <a:lstStyle/>
              <a:p>
                <a:pPr>
                  <a:defRPr lang="es-ES" sz="800" b="1" i="0" u="none" strike="noStrike" baseline="0">
                    <a:solidFill>
                      <a:srgbClr val="000000"/>
                    </a:solidFill>
                    <a:latin typeface="Arial"/>
                    <a:ea typeface="Arial"/>
                    <a:cs typeface="Arial"/>
                  </a:defRPr>
                </a:pPr>
                <a:endParaRPr lang="es-ES"/>
              </a:p>
            </c:txPr>
            <c:dLblPos val="outEnd"/>
            <c:showVal val="1"/>
          </c:dLbls>
          <c:trendline>
            <c:spPr>
              <a:ln w="12700">
                <a:solidFill>
                  <a:srgbClr val="000000"/>
                </a:solidFill>
                <a:prstDash val="solid"/>
              </a:ln>
            </c:spPr>
            <c:trendlineType val="linear"/>
          </c:trendline>
          <c:cat>
            <c:strRef>
              <c:f>'DATOS CALCULO INDICADORES'!$C$114:$AL$114</c:f>
              <c:strCache>
                <c:ptCount val="5"/>
                <c:pt idx="0">
                  <c:v>DIC 2010</c:v>
                </c:pt>
                <c:pt idx="1">
                  <c:v>DIC 2011</c:v>
                </c:pt>
                <c:pt idx="2">
                  <c:v>DIC 2012</c:v>
                </c:pt>
                <c:pt idx="3">
                  <c:v>DIC 2013</c:v>
                </c:pt>
                <c:pt idx="4">
                  <c:v>DIC 2014</c:v>
                </c:pt>
              </c:strCache>
            </c:strRef>
          </c:cat>
          <c:val>
            <c:numRef>
              <c:f>'DATOS CALCULO INDICADORES'!$C$115:$AL$115</c:f>
              <c:numCache>
                <c:formatCode>0.00%</c:formatCode>
                <c:ptCount val="5"/>
                <c:pt idx="0">
                  <c:v>0.17777010182320604</c:v>
                </c:pt>
                <c:pt idx="1">
                  <c:v>0.19650404229313601</c:v>
                </c:pt>
                <c:pt idx="2">
                  <c:v>0.25442458395703316</c:v>
                </c:pt>
                <c:pt idx="3">
                  <c:v>0.25204854824649575</c:v>
                </c:pt>
                <c:pt idx="4">
                  <c:v>0.22999711149624608</c:v>
                </c:pt>
              </c:numCache>
            </c:numRef>
          </c:val>
        </c:ser>
        <c:gapWidth val="50"/>
        <c:axId val="167152256"/>
        <c:axId val="167174528"/>
      </c:barChart>
      <c:lineChart>
        <c:grouping val="standard"/>
        <c:ser>
          <c:idx val="1"/>
          <c:order val="1"/>
          <c:tx>
            <c:strRef>
              <c:f>'DATOS CALCULO INDICADORES'!$B$116</c:f>
              <c:strCache>
                <c:ptCount val="1"/>
                <c:pt idx="0">
                  <c:v>EXCELENTE</c:v>
                </c:pt>
              </c:strCache>
            </c:strRef>
          </c:tx>
          <c:spPr>
            <a:ln w="25400">
              <a:solidFill>
                <a:srgbClr val="008000"/>
              </a:solidFill>
              <a:prstDash val="solid"/>
            </a:ln>
          </c:spPr>
          <c:marker>
            <c:symbol val="none"/>
          </c:marker>
          <c:cat>
            <c:strRef>
              <c:f>'DATOS CALCULO INDICADORES'!$C$114:$AL$114</c:f>
              <c:strCache>
                <c:ptCount val="5"/>
                <c:pt idx="0">
                  <c:v>DIC 2010</c:v>
                </c:pt>
                <c:pt idx="1">
                  <c:v>DIC 2011</c:v>
                </c:pt>
                <c:pt idx="2">
                  <c:v>DIC 2012</c:v>
                </c:pt>
                <c:pt idx="3">
                  <c:v>DIC 2013</c:v>
                </c:pt>
                <c:pt idx="4">
                  <c:v>DIC 2014</c:v>
                </c:pt>
              </c:strCache>
            </c:strRef>
          </c:cat>
          <c:val>
            <c:numRef>
              <c:f>'DATOS CALCULO INDICADORES'!$C$116:$AL$116</c:f>
              <c:numCache>
                <c:formatCode>0.00%</c:formatCode>
                <c:ptCount val="5"/>
                <c:pt idx="0">
                  <c:v>0.16200000000000001</c:v>
                </c:pt>
                <c:pt idx="1">
                  <c:v>0.16200000000000001</c:v>
                </c:pt>
                <c:pt idx="2">
                  <c:v>0.16200000000000001</c:v>
                </c:pt>
                <c:pt idx="3">
                  <c:v>0.16200000000000001</c:v>
                </c:pt>
                <c:pt idx="4">
                  <c:v>0.16200000000000001</c:v>
                </c:pt>
              </c:numCache>
            </c:numRef>
          </c:val>
        </c:ser>
        <c:ser>
          <c:idx val="2"/>
          <c:order val="2"/>
          <c:tx>
            <c:strRef>
              <c:f>'DATOS CALCULO INDICADORES'!$B$117</c:f>
              <c:strCache>
                <c:ptCount val="1"/>
                <c:pt idx="0">
                  <c:v>REGULAR</c:v>
                </c:pt>
              </c:strCache>
            </c:strRef>
          </c:tx>
          <c:spPr>
            <a:ln w="25400">
              <a:solidFill>
                <a:srgbClr val="000080"/>
              </a:solidFill>
              <a:prstDash val="solid"/>
            </a:ln>
          </c:spPr>
          <c:marker>
            <c:symbol val="none"/>
          </c:marker>
          <c:cat>
            <c:strRef>
              <c:f>'DATOS CALCULO INDICADORES'!$C$114:$AL$114</c:f>
              <c:strCache>
                <c:ptCount val="5"/>
                <c:pt idx="0">
                  <c:v>DIC 2010</c:v>
                </c:pt>
                <c:pt idx="1">
                  <c:v>DIC 2011</c:v>
                </c:pt>
                <c:pt idx="2">
                  <c:v>DIC 2012</c:v>
                </c:pt>
                <c:pt idx="3">
                  <c:v>DIC 2013</c:v>
                </c:pt>
                <c:pt idx="4">
                  <c:v>DIC 2014</c:v>
                </c:pt>
              </c:strCache>
            </c:strRef>
          </c:cat>
          <c:val>
            <c:numRef>
              <c:f>'DATOS CALCULO INDICADORES'!$C$117:$AL$117</c:f>
              <c:numCache>
                <c:formatCode>0.00%</c:formatCode>
                <c:ptCount val="5"/>
                <c:pt idx="0">
                  <c:v>0.21600000000000041</c:v>
                </c:pt>
                <c:pt idx="1">
                  <c:v>0.21600000000000041</c:v>
                </c:pt>
                <c:pt idx="2">
                  <c:v>0.21600000000000041</c:v>
                </c:pt>
                <c:pt idx="3">
                  <c:v>0.21600000000000041</c:v>
                </c:pt>
                <c:pt idx="4">
                  <c:v>0.21600000000000041</c:v>
                </c:pt>
              </c:numCache>
            </c:numRef>
          </c:val>
        </c:ser>
        <c:ser>
          <c:idx val="3"/>
          <c:order val="3"/>
          <c:tx>
            <c:strRef>
              <c:f>'DATOS CALCULO INDICADORES'!$B$118</c:f>
              <c:strCache>
                <c:ptCount val="1"/>
                <c:pt idx="0">
                  <c:v>DEFICIENTE</c:v>
                </c:pt>
              </c:strCache>
            </c:strRef>
          </c:tx>
          <c:spPr>
            <a:ln w="25400">
              <a:solidFill>
                <a:srgbClr val="FF0000"/>
              </a:solidFill>
              <a:prstDash val="solid"/>
            </a:ln>
          </c:spPr>
          <c:marker>
            <c:symbol val="none"/>
          </c:marker>
          <c:cat>
            <c:strRef>
              <c:f>'DATOS CALCULO INDICADORES'!$C$114:$AL$114</c:f>
              <c:strCache>
                <c:ptCount val="5"/>
                <c:pt idx="0">
                  <c:v>DIC 2010</c:v>
                </c:pt>
                <c:pt idx="1">
                  <c:v>DIC 2011</c:v>
                </c:pt>
                <c:pt idx="2">
                  <c:v>DIC 2012</c:v>
                </c:pt>
                <c:pt idx="3">
                  <c:v>DIC 2013</c:v>
                </c:pt>
                <c:pt idx="4">
                  <c:v>DIC 2014</c:v>
                </c:pt>
              </c:strCache>
            </c:strRef>
          </c:cat>
          <c:val>
            <c:numRef>
              <c:f>'DATOS CALCULO INDICADORES'!$C$118:$AL$118</c:f>
              <c:numCache>
                <c:formatCode>0.00%</c:formatCode>
                <c:ptCount val="5"/>
                <c:pt idx="0">
                  <c:v>0.27</c:v>
                </c:pt>
                <c:pt idx="1">
                  <c:v>0.27</c:v>
                </c:pt>
                <c:pt idx="2">
                  <c:v>0.27</c:v>
                </c:pt>
                <c:pt idx="3">
                  <c:v>0.27</c:v>
                </c:pt>
                <c:pt idx="4">
                  <c:v>0.27</c:v>
                </c:pt>
              </c:numCache>
            </c:numRef>
          </c:val>
        </c:ser>
        <c:marker val="1"/>
        <c:axId val="167152256"/>
        <c:axId val="167174528"/>
      </c:lineChart>
      <c:catAx>
        <c:axId val="167152256"/>
        <c:scaling>
          <c:orientation val="minMax"/>
        </c:scaling>
        <c:axPos val="b"/>
        <c:numFmt formatCode="@" sourceLinked="1"/>
        <c:tickLblPos val="nextTo"/>
        <c:spPr>
          <a:ln w="3175">
            <a:solidFill>
              <a:srgbClr val="000000"/>
            </a:solidFill>
            <a:prstDash val="solid"/>
          </a:ln>
        </c:spPr>
        <c:txPr>
          <a:bodyPr rot="0" vert="horz"/>
          <a:lstStyle/>
          <a:p>
            <a:pPr>
              <a:defRPr lang="es-ES" sz="900" b="1" i="0" u="none" strike="noStrike" baseline="0">
                <a:solidFill>
                  <a:srgbClr val="000000"/>
                </a:solidFill>
                <a:latin typeface="Arial"/>
                <a:ea typeface="Arial"/>
                <a:cs typeface="Arial"/>
              </a:defRPr>
            </a:pPr>
            <a:endParaRPr lang="es-ES"/>
          </a:p>
        </c:txPr>
        <c:crossAx val="167174528"/>
        <c:crosses val="autoZero"/>
        <c:auto val="1"/>
        <c:lblAlgn val="ctr"/>
        <c:lblOffset val="100"/>
        <c:tickLblSkip val="1"/>
        <c:tickMarkSkip val="1"/>
      </c:catAx>
      <c:valAx>
        <c:axId val="167174528"/>
        <c:scaling>
          <c:orientation val="minMax"/>
          <c:max val="0.4"/>
          <c:min val="0"/>
        </c:scaling>
        <c:axPos val="l"/>
        <c:numFmt formatCode="0%" sourceLinked="0"/>
        <c:tickLblPos val="nextTo"/>
        <c:spPr>
          <a:ln w="3175">
            <a:solidFill>
              <a:srgbClr val="000000"/>
            </a:solidFill>
            <a:prstDash val="solid"/>
          </a:ln>
        </c:spPr>
        <c:txPr>
          <a:bodyPr rot="0" vert="horz"/>
          <a:lstStyle/>
          <a:p>
            <a:pPr>
              <a:defRPr lang="es-ES" sz="900" b="0" i="0" u="none" strike="noStrike" baseline="0">
                <a:solidFill>
                  <a:srgbClr val="000000"/>
                </a:solidFill>
                <a:latin typeface="Arial"/>
                <a:ea typeface="Arial"/>
                <a:cs typeface="Arial"/>
              </a:defRPr>
            </a:pPr>
            <a:endParaRPr lang="es-ES"/>
          </a:p>
        </c:txPr>
        <c:crossAx val="167152256"/>
        <c:crosses val="autoZero"/>
        <c:crossBetween val="between"/>
        <c:majorUnit val="0.05"/>
        <c:minorUnit val="2.0000000000000011E-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19761950711380888"/>
          <c:y val="3.37837837837838E-2"/>
          <c:w val="0.79285898637227104"/>
          <c:h val="0.11486486486486364"/>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50" b="0" i="0" u="none" strike="noStrike" baseline="0">
          <a:solidFill>
            <a:srgbClr val="000000"/>
          </a:solidFill>
          <a:latin typeface="Arial"/>
          <a:ea typeface="Arial"/>
          <a:cs typeface="Arial"/>
        </a:defRPr>
      </a:pPr>
      <a:endParaRPr lang="es-E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1061946902654785"/>
          <c:y val="5.0473186119873802E-2"/>
          <c:w val="0.87610619469026496"/>
          <c:h val="0.83280757097791758"/>
        </c:manualLayout>
      </c:layout>
      <c:barChart>
        <c:barDir val="col"/>
        <c:grouping val="clustered"/>
        <c:ser>
          <c:idx val="0"/>
          <c:order val="0"/>
          <c:tx>
            <c:strRef>
              <c:f>'DATOS CALCULO INDICADORES'!$B$110</c:f>
              <c:strCache>
                <c:ptCount val="1"/>
                <c:pt idx="0">
                  <c:v>Deudas/patrimonio</c:v>
                </c:pt>
              </c:strCache>
            </c:strRef>
          </c:tx>
          <c:spPr>
            <a:gradFill rotWithShape="0">
              <a:gsLst>
                <a:gs pos="0">
                  <a:srgbClr val="339966"/>
                </a:gs>
                <a:gs pos="100000">
                  <a:srgbClr val="339966">
                    <a:gamma/>
                    <a:shade val="46275"/>
                    <a:invGamma/>
                  </a:srgbClr>
                </a:gs>
              </a:gsLst>
              <a:lin ang="5400000" scaled="1"/>
            </a:gradFill>
            <a:ln w="12700">
              <a:solidFill>
                <a:srgbClr val="000000"/>
              </a:solidFill>
              <a:prstDash val="solid"/>
            </a:ln>
            <a:effectLst>
              <a:outerShdw dist="35921" dir="2700000" algn="br">
                <a:srgbClr val="000000"/>
              </a:outerShdw>
            </a:effectLst>
          </c:spPr>
          <c:dLbls>
            <c:dLbl>
              <c:idx val="3"/>
              <c:layout>
                <c:manualLayout>
                  <c:x val="-4.6769551997993524E-3"/>
                  <c:y val="-1.1722783118368101E-2"/>
                </c:manualLayout>
              </c:layout>
              <c:dLblPos val="outEnd"/>
              <c:showVal val="1"/>
            </c:dLbl>
            <c:dLbl>
              <c:idx val="4"/>
              <c:layout>
                <c:manualLayout>
                  <c:x val="9.5213561068534115E-3"/>
                  <c:y val="-1.2849942836900096E-2"/>
                </c:manualLayout>
              </c:layout>
              <c:dLblPos val="outEnd"/>
              <c:showVal val="1"/>
            </c:dLbl>
            <c:dLbl>
              <c:idx val="5"/>
              <c:layout>
                <c:manualLayout>
                  <c:x val="-4.3139850881471703E-3"/>
                  <c:y val="-1.2268229878205302E-2"/>
                </c:manualLayout>
              </c:layout>
              <c:dLblPos val="outEnd"/>
              <c:showVal val="1"/>
            </c:dLbl>
            <c:dLbl>
              <c:idx val="6"/>
              <c:layout>
                <c:manualLayout>
                  <c:x val="6.7465681834019608E-3"/>
                  <c:y val="-3.0828598956776001E-2"/>
                </c:manualLayout>
              </c:layout>
              <c:dLblPos val="outEnd"/>
              <c:showVal val="1"/>
            </c:dLbl>
            <c:dLbl>
              <c:idx val="9"/>
              <c:layout>
                <c:manualLayout>
                  <c:xMode val="edge"/>
                  <c:yMode val="edge"/>
                  <c:x val="0.94026548672566357"/>
                  <c:y val="0.735015772870662"/>
                </c:manualLayout>
              </c:layout>
              <c:dLblPos val="outEnd"/>
              <c:showVal val="1"/>
            </c:dLbl>
            <c:dLbl>
              <c:idx val="10"/>
              <c:layout>
                <c:manualLayout>
                  <c:xMode val="edge"/>
                  <c:yMode val="edge"/>
                  <c:x val="0.88053097345132758"/>
                  <c:y val="0.22082018927444788"/>
                </c:manualLayout>
              </c:layout>
              <c:dLblPos val="outEnd"/>
              <c:showVal val="1"/>
            </c:dLbl>
            <c:spPr>
              <a:noFill/>
              <a:ln w="25400">
                <a:noFill/>
              </a:ln>
            </c:spPr>
            <c:txPr>
              <a:bodyPr/>
              <a:lstStyle/>
              <a:p>
                <a:pPr>
                  <a:defRPr lang="es-ES" sz="825" b="1" i="0" u="none" strike="noStrike" baseline="0">
                    <a:solidFill>
                      <a:srgbClr val="000000"/>
                    </a:solidFill>
                    <a:latin typeface="Arial"/>
                    <a:ea typeface="Arial"/>
                    <a:cs typeface="Arial"/>
                  </a:defRPr>
                </a:pPr>
                <a:endParaRPr lang="es-ES"/>
              </a:p>
            </c:txPr>
            <c:dLblPos val="outEnd"/>
            <c:showVal val="1"/>
          </c:dLbls>
          <c:trendline>
            <c:spPr>
              <a:ln w="12700">
                <a:solidFill>
                  <a:srgbClr val="000000"/>
                </a:solidFill>
                <a:prstDash val="solid"/>
              </a:ln>
            </c:spPr>
            <c:trendlineType val="linear"/>
          </c:trendline>
          <c:cat>
            <c:strRef>
              <c:f>'DATOS CALCULO INDICADORES'!$C$109:$AL$109</c:f>
              <c:strCache>
                <c:ptCount val="5"/>
                <c:pt idx="0">
                  <c:v>DIC 2010</c:v>
                </c:pt>
                <c:pt idx="1">
                  <c:v>DIC 2011</c:v>
                </c:pt>
                <c:pt idx="2">
                  <c:v>DIC 2012</c:v>
                </c:pt>
                <c:pt idx="3">
                  <c:v>DIC 2013</c:v>
                </c:pt>
                <c:pt idx="4">
                  <c:v>DIC 2014</c:v>
                </c:pt>
              </c:strCache>
            </c:strRef>
          </c:cat>
          <c:val>
            <c:numRef>
              <c:f>'DATOS CALCULO INDICADORES'!$C$110:$AL$110</c:f>
              <c:numCache>
                <c:formatCode>0.00%</c:formatCode>
                <c:ptCount val="5"/>
                <c:pt idx="0">
                  <c:v>4.6252428824871163</c:v>
                </c:pt>
                <c:pt idx="1">
                  <c:v>4.0889538369304335</c:v>
                </c:pt>
                <c:pt idx="2">
                  <c:v>2.9304377920055402</c:v>
                </c:pt>
                <c:pt idx="3">
                  <c:v>2.9674896243481927</c:v>
                </c:pt>
                <c:pt idx="4">
                  <c:v>3.3478283621140772</c:v>
                </c:pt>
              </c:numCache>
            </c:numRef>
          </c:val>
        </c:ser>
        <c:gapWidth val="50"/>
        <c:axId val="10199040"/>
        <c:axId val="10200576"/>
      </c:barChart>
      <c:lineChart>
        <c:grouping val="standard"/>
        <c:ser>
          <c:idx val="1"/>
          <c:order val="1"/>
          <c:tx>
            <c:strRef>
              <c:f>'DATOS CALCULO INDICADORES'!$B$111</c:f>
              <c:strCache>
                <c:ptCount val="1"/>
                <c:pt idx="0">
                  <c:v>EXCELENTE</c:v>
                </c:pt>
              </c:strCache>
            </c:strRef>
          </c:tx>
          <c:spPr>
            <a:ln w="25400">
              <a:solidFill>
                <a:srgbClr val="008000"/>
              </a:solidFill>
              <a:prstDash val="solid"/>
            </a:ln>
          </c:spPr>
          <c:marker>
            <c:symbol val="none"/>
          </c:marker>
          <c:cat>
            <c:strRef>
              <c:f>'DATOS CALCULO INDICADORES'!$C$109:$AL$109</c:f>
              <c:strCache>
                <c:ptCount val="5"/>
                <c:pt idx="0">
                  <c:v>DIC 2010</c:v>
                </c:pt>
                <c:pt idx="1">
                  <c:v>DIC 2011</c:v>
                </c:pt>
                <c:pt idx="2">
                  <c:v>DIC 2012</c:v>
                </c:pt>
                <c:pt idx="3">
                  <c:v>DIC 2013</c:v>
                </c:pt>
                <c:pt idx="4">
                  <c:v>DIC 2014</c:v>
                </c:pt>
              </c:strCache>
            </c:strRef>
          </c:cat>
          <c:val>
            <c:numRef>
              <c:f>'DATOS CALCULO INDICADORES'!$C$111:$AL$111</c:f>
              <c:numCache>
                <c:formatCode>0.00%</c:formatCode>
                <c:ptCount val="5"/>
                <c:pt idx="0">
                  <c:v>2.82</c:v>
                </c:pt>
                <c:pt idx="1">
                  <c:v>2.82</c:v>
                </c:pt>
                <c:pt idx="2">
                  <c:v>2.82</c:v>
                </c:pt>
                <c:pt idx="3">
                  <c:v>2.82</c:v>
                </c:pt>
                <c:pt idx="4">
                  <c:v>2.82</c:v>
                </c:pt>
              </c:numCache>
            </c:numRef>
          </c:val>
        </c:ser>
        <c:ser>
          <c:idx val="2"/>
          <c:order val="2"/>
          <c:tx>
            <c:strRef>
              <c:f>'DATOS CALCULO INDICADORES'!$B$112</c:f>
              <c:strCache>
                <c:ptCount val="1"/>
                <c:pt idx="0">
                  <c:v>REGULAR</c:v>
                </c:pt>
              </c:strCache>
            </c:strRef>
          </c:tx>
          <c:spPr>
            <a:ln w="25400">
              <a:solidFill>
                <a:srgbClr val="000080"/>
              </a:solidFill>
              <a:prstDash val="solid"/>
            </a:ln>
          </c:spPr>
          <c:marker>
            <c:symbol val="none"/>
          </c:marker>
          <c:cat>
            <c:strRef>
              <c:f>'DATOS CALCULO INDICADORES'!$C$109:$AL$109</c:f>
              <c:strCache>
                <c:ptCount val="5"/>
                <c:pt idx="0">
                  <c:v>DIC 2010</c:v>
                </c:pt>
                <c:pt idx="1">
                  <c:v>DIC 2011</c:v>
                </c:pt>
                <c:pt idx="2">
                  <c:v>DIC 2012</c:v>
                </c:pt>
                <c:pt idx="3">
                  <c:v>DIC 2013</c:v>
                </c:pt>
                <c:pt idx="4">
                  <c:v>DIC 2014</c:v>
                </c:pt>
              </c:strCache>
            </c:strRef>
          </c:cat>
          <c:val>
            <c:numRef>
              <c:f>'DATOS CALCULO INDICADORES'!$C$112:$AL$112</c:f>
              <c:numCache>
                <c:formatCode>0.00%</c:formatCode>
                <c:ptCount val="5"/>
                <c:pt idx="0">
                  <c:v>2.2559999999999998</c:v>
                </c:pt>
                <c:pt idx="1">
                  <c:v>2.2559999999999998</c:v>
                </c:pt>
                <c:pt idx="2">
                  <c:v>2.2559999999999998</c:v>
                </c:pt>
                <c:pt idx="3">
                  <c:v>2.2559999999999998</c:v>
                </c:pt>
                <c:pt idx="4">
                  <c:v>2.2559999999999998</c:v>
                </c:pt>
              </c:numCache>
            </c:numRef>
          </c:val>
        </c:ser>
        <c:ser>
          <c:idx val="3"/>
          <c:order val="3"/>
          <c:tx>
            <c:strRef>
              <c:f>'DATOS CALCULO INDICADORES'!$B$113</c:f>
              <c:strCache>
                <c:ptCount val="1"/>
                <c:pt idx="0">
                  <c:v>DEFICIENTE</c:v>
                </c:pt>
              </c:strCache>
            </c:strRef>
          </c:tx>
          <c:spPr>
            <a:ln w="25400">
              <a:solidFill>
                <a:srgbClr val="FF0000"/>
              </a:solidFill>
              <a:prstDash val="solid"/>
            </a:ln>
          </c:spPr>
          <c:marker>
            <c:symbol val="none"/>
          </c:marker>
          <c:cat>
            <c:strRef>
              <c:f>'DATOS CALCULO INDICADORES'!$C$109:$AL$109</c:f>
              <c:strCache>
                <c:ptCount val="5"/>
                <c:pt idx="0">
                  <c:v>DIC 2010</c:v>
                </c:pt>
                <c:pt idx="1">
                  <c:v>DIC 2011</c:v>
                </c:pt>
                <c:pt idx="2">
                  <c:v>DIC 2012</c:v>
                </c:pt>
                <c:pt idx="3">
                  <c:v>DIC 2013</c:v>
                </c:pt>
                <c:pt idx="4">
                  <c:v>DIC 2014</c:v>
                </c:pt>
              </c:strCache>
            </c:strRef>
          </c:cat>
          <c:val>
            <c:numRef>
              <c:f>'DATOS CALCULO INDICADORES'!$C$113:$AL$113</c:f>
              <c:numCache>
                <c:formatCode>0.00%</c:formatCode>
                <c:ptCount val="5"/>
                <c:pt idx="0">
                  <c:v>1.6920000000000046</c:v>
                </c:pt>
                <c:pt idx="1">
                  <c:v>1.6920000000000046</c:v>
                </c:pt>
                <c:pt idx="2">
                  <c:v>1.6920000000000046</c:v>
                </c:pt>
                <c:pt idx="3">
                  <c:v>1.6920000000000046</c:v>
                </c:pt>
                <c:pt idx="4">
                  <c:v>1.6920000000000046</c:v>
                </c:pt>
              </c:numCache>
            </c:numRef>
          </c:val>
        </c:ser>
        <c:marker val="1"/>
        <c:axId val="10199040"/>
        <c:axId val="10200576"/>
      </c:lineChart>
      <c:catAx>
        <c:axId val="10199040"/>
        <c:scaling>
          <c:orientation val="minMax"/>
        </c:scaling>
        <c:axPos val="b"/>
        <c:numFmt formatCode="@" sourceLinked="1"/>
        <c:tickLblPos val="nextTo"/>
        <c:spPr>
          <a:ln w="3175">
            <a:solidFill>
              <a:srgbClr val="000000"/>
            </a:solidFill>
            <a:prstDash val="solid"/>
          </a:ln>
        </c:spPr>
        <c:txPr>
          <a:bodyPr rot="0" vert="horz"/>
          <a:lstStyle/>
          <a:p>
            <a:pPr>
              <a:defRPr lang="es-ES" sz="950" b="1" i="0" u="none" strike="noStrike" baseline="0">
                <a:solidFill>
                  <a:srgbClr val="000000"/>
                </a:solidFill>
                <a:latin typeface="Arial"/>
                <a:ea typeface="Arial"/>
                <a:cs typeface="Arial"/>
              </a:defRPr>
            </a:pPr>
            <a:endParaRPr lang="es-ES"/>
          </a:p>
        </c:txPr>
        <c:crossAx val="10200576"/>
        <c:crosses val="autoZero"/>
        <c:auto val="1"/>
        <c:lblAlgn val="ctr"/>
        <c:lblOffset val="100"/>
        <c:tickLblSkip val="1"/>
        <c:tickMarkSkip val="1"/>
      </c:catAx>
      <c:valAx>
        <c:axId val="10200576"/>
        <c:scaling>
          <c:orientation val="minMax"/>
          <c:max val="6.5"/>
          <c:min val="1"/>
        </c:scaling>
        <c:axPos val="l"/>
        <c:numFmt formatCode="0%" sourceLinked="0"/>
        <c:tickLblPos val="nextTo"/>
        <c:spPr>
          <a:ln w="3175">
            <a:solidFill>
              <a:srgbClr val="000000"/>
            </a:solidFill>
            <a:prstDash val="solid"/>
          </a:ln>
        </c:spPr>
        <c:txPr>
          <a:bodyPr rot="0" vert="horz"/>
          <a:lstStyle/>
          <a:p>
            <a:pPr>
              <a:defRPr lang="es-ES" sz="950" b="0" i="0" u="none" strike="noStrike" baseline="0">
                <a:solidFill>
                  <a:srgbClr val="000000"/>
                </a:solidFill>
                <a:latin typeface="Arial"/>
                <a:ea typeface="Arial"/>
                <a:cs typeface="Arial"/>
              </a:defRPr>
            </a:pPr>
            <a:endParaRPr lang="es-ES"/>
          </a:p>
        </c:txPr>
        <c:crossAx val="10199040"/>
        <c:crosses val="autoZero"/>
        <c:crossBetween val="between"/>
        <c:majorUnit val="1"/>
        <c:minorUnit val="0.2"/>
      </c:valAx>
      <c:spPr>
        <a:noFill/>
        <a:ln w="25400">
          <a:noFill/>
        </a:ln>
      </c:spPr>
    </c:plotArea>
    <c:legend>
      <c:legendPos val="r"/>
      <c:legendEntry>
        <c:idx val="0"/>
        <c:txPr>
          <a:bodyPr/>
          <a:lstStyle/>
          <a:p>
            <a:pPr>
              <a:defRPr sz="825" b="1" i="0" u="none" strike="noStrike" baseline="0">
                <a:solidFill>
                  <a:srgbClr val="000000"/>
                </a:solidFill>
                <a:latin typeface="Arial"/>
                <a:ea typeface="Arial"/>
                <a:cs typeface="Arial"/>
              </a:defRPr>
            </a:pPr>
            <a:endParaRPr lang="es-ES"/>
          </a:p>
        </c:txPr>
      </c:legendEntry>
      <c:layout>
        <c:manualLayout>
          <c:xMode val="edge"/>
          <c:yMode val="edge"/>
          <c:x val="0.185840707964602"/>
          <c:y val="3.1147214193162692E-3"/>
          <c:w val="0.61946902654868308"/>
          <c:h val="0.13249211356466944"/>
        </c:manualLayout>
      </c:layout>
      <c:spPr>
        <a:solidFill>
          <a:srgbClr val="FFFFFF"/>
        </a:solidFill>
        <a:ln w="3175">
          <a:solidFill>
            <a:srgbClr val="000000"/>
          </a:solidFill>
          <a:prstDash val="solid"/>
        </a:ln>
      </c:spPr>
      <c:txPr>
        <a:bodyPr/>
        <a:lstStyle/>
        <a:p>
          <a:pPr>
            <a:defRPr lang="es-ES"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75" b="0" i="0" u="none" strike="noStrike" baseline="0">
          <a:solidFill>
            <a:srgbClr val="000000"/>
          </a:solidFill>
          <a:latin typeface="Arial"/>
          <a:ea typeface="Arial"/>
          <a:cs typeface="Arial"/>
        </a:defRPr>
      </a:pPr>
      <a:endParaRPr lang="es-E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a:pPr>
            <a:r>
              <a:rPr lang="es-CO" sz="1400"/>
              <a:t>% EFICACIA</a:t>
            </a:r>
            <a:r>
              <a:rPr lang="es-CO" sz="1400" baseline="0"/>
              <a:t> SOLICION SISTEMAS DE COMPUTO DE HADWARE Y SOFWARE</a:t>
            </a:r>
            <a:endParaRPr lang="es-CO" sz="1400"/>
          </a:p>
        </c:rich>
      </c:tx>
    </c:title>
    <c:plotArea>
      <c:layout>
        <c:manualLayout>
          <c:layoutTarget val="inner"/>
          <c:xMode val="edge"/>
          <c:yMode val="edge"/>
          <c:x val="0.110070383478465"/>
          <c:y val="0.11597000511567308"/>
          <c:w val="0.62818417380029767"/>
          <c:h val="0.57548543130170293"/>
        </c:manualLayout>
      </c:layout>
      <c:barChart>
        <c:barDir val="col"/>
        <c:grouping val="clustered"/>
        <c:ser>
          <c:idx val="0"/>
          <c:order val="0"/>
          <c:tx>
            <c:strRef>
              <c:f>DATOS!$A$5</c:f>
              <c:strCache>
                <c:ptCount val="1"/>
                <c:pt idx="0">
                  <c:v>% EFICACIA SOLUCION SISTEMAS A LOS EQUIPOS DE COMPUTO TANTO DE HARDWARE COMO SOFTWARE</c:v>
                </c:pt>
              </c:strCache>
            </c:strRef>
          </c:tx>
          <c:spPr>
            <a:solidFill>
              <a:srgbClr val="009900"/>
            </a:solidFill>
            <a:ln w="12700">
              <a:solidFill>
                <a:srgbClr val="000000"/>
              </a:solidFill>
              <a:prstDash val="solid"/>
            </a:ln>
          </c:spPr>
          <c:dLbls>
            <c:dLbl>
              <c:idx val="1"/>
              <c:layout>
                <c:manualLayout>
                  <c:x val="8.903210949145984E-3"/>
                  <c:y val="-2.4973594545640607E-2"/>
                </c:manualLayout>
              </c:layout>
              <c:dLblPos val="outEnd"/>
              <c:showVal val="1"/>
            </c:dLbl>
            <c:dLbl>
              <c:idx val="2"/>
              <c:layout>
                <c:manualLayout>
                  <c:x val="3.7118985143599612E-3"/>
                  <c:y val="-1.8944168114706963E-2"/>
                </c:manualLayout>
              </c:layout>
              <c:dLblPos val="outEnd"/>
              <c:showVal val="1"/>
            </c:dLbl>
            <c:dLbl>
              <c:idx val="3"/>
              <c:layout>
                <c:manualLayout>
                  <c:x val="7.8103291793915905E-3"/>
                  <c:y val="-2.2244508784637407E-2"/>
                </c:manualLayout>
              </c:layout>
              <c:dLblPos val="outEnd"/>
              <c:showVal val="1"/>
            </c:dLbl>
            <c:dLbl>
              <c:idx val="4"/>
              <c:layout>
                <c:manualLayout>
                  <c:xMode val="edge"/>
                  <c:yMode val="edge"/>
                  <c:x val="0.87353729866952068"/>
                  <c:y val="0.63696574929658556"/>
                </c:manualLayout>
              </c:layout>
              <c:dLblPos val="outEnd"/>
              <c:showVal val="1"/>
            </c:dLbl>
            <c:dLbl>
              <c:idx val="5"/>
              <c:layout>
                <c:manualLayout>
                  <c:xMode val="edge"/>
                  <c:yMode val="edge"/>
                  <c:x val="0.48477807191579275"/>
                  <c:y val="1.980204401958301E-2"/>
                </c:manualLayout>
              </c:layout>
              <c:dLblPos val="outEnd"/>
              <c:showVal val="1"/>
            </c:dLbl>
            <c:dLbl>
              <c:idx val="6"/>
              <c:layout>
                <c:manualLayout>
                  <c:xMode val="edge"/>
                  <c:yMode val="edge"/>
                  <c:x val="0.58782268623605549"/>
                  <c:y val="1.6501703349652522E-2"/>
                </c:manualLayout>
              </c:layout>
              <c:dLblPos val="outEnd"/>
              <c:showVal val="1"/>
            </c:dLbl>
            <c:dLbl>
              <c:idx val="7"/>
              <c:layout>
                <c:manualLayout>
                  <c:xMode val="edge"/>
                  <c:yMode val="edge"/>
                  <c:x val="0.6744738391871915"/>
                  <c:y val="1.6501703349652522E-2"/>
                </c:manualLayout>
              </c:layout>
              <c:dLblPos val="outEnd"/>
              <c:showVal val="1"/>
            </c:dLbl>
            <c:dLbl>
              <c:idx val="8"/>
              <c:layout>
                <c:manualLayout>
                  <c:xMode val="edge"/>
                  <c:yMode val="edge"/>
                  <c:x val="0.76815076129652005"/>
                  <c:y val="1.6501703349652522E-2"/>
                </c:manualLayout>
              </c:layout>
              <c:dLblPos val="outEnd"/>
              <c:showVal val="1"/>
            </c:dLbl>
            <c:dLbl>
              <c:idx val="9"/>
              <c:layout>
                <c:manualLayout>
                  <c:xMode val="edge"/>
                  <c:yMode val="edge"/>
                  <c:x val="0.770492684349253"/>
                  <c:y val="1.6501703349652522E-2"/>
                </c:manualLayout>
              </c:layout>
              <c:dLblPos val="outEnd"/>
              <c:showVal val="1"/>
            </c:dLbl>
            <c:dLbl>
              <c:idx val="10"/>
              <c:layout>
                <c:manualLayout>
                  <c:xMode val="edge"/>
                  <c:yMode val="edge"/>
                  <c:x val="0.86182768340585403"/>
                  <c:y val="1.6501703349652522E-2"/>
                </c:manualLayout>
              </c:layout>
              <c:dLblPos val="outEnd"/>
              <c:showVal val="1"/>
            </c:dLbl>
            <c:dLbl>
              <c:idx val="11"/>
              <c:layout>
                <c:manualLayout>
                  <c:xMode val="edge"/>
                  <c:yMode val="edge"/>
                  <c:x val="0.97658191298978603"/>
                  <c:y val="1.6501703349652522E-2"/>
                </c:manualLayout>
              </c:layout>
              <c:dLblPos val="outEnd"/>
              <c:showVal val="1"/>
            </c:dLbl>
            <c:dLbl>
              <c:idx val="12"/>
              <c:layout>
                <c:manualLayout>
                  <c:xMode val="edge"/>
                  <c:yMode val="edge"/>
                  <c:x val="0.39344307285919417"/>
                  <c:y val="0.52145382584901556"/>
                </c:manualLayout>
              </c:layout>
              <c:dLblPos val="outEnd"/>
              <c:showVal val="1"/>
            </c:dLbl>
            <c:dLbl>
              <c:idx val="13"/>
              <c:layout>
                <c:manualLayout>
                  <c:xMode val="edge"/>
                  <c:yMode val="edge"/>
                  <c:x val="0.45433307223025932"/>
                  <c:y val="0.52145382584901556"/>
                </c:manualLayout>
              </c:layout>
              <c:dLblPos val="outEnd"/>
              <c:showVal val="1"/>
            </c:dLbl>
            <c:dLbl>
              <c:idx val="14"/>
              <c:layout>
                <c:manualLayout>
                  <c:xMode val="edge"/>
                  <c:yMode val="edge"/>
                  <c:x val="0.41686230338652752"/>
                  <c:y val="0.59406132058748551"/>
                </c:manualLayout>
              </c:layout>
              <c:dLblPos val="outEnd"/>
              <c:showVal val="1"/>
            </c:dLbl>
            <c:dLbl>
              <c:idx val="15"/>
              <c:layout>
                <c:manualLayout>
                  <c:xMode val="edge"/>
                  <c:yMode val="edge"/>
                  <c:x val="0.51522307160132397"/>
                  <c:y val="0.21122180287555101"/>
                </c:manualLayout>
              </c:layout>
              <c:dLblPos val="outEnd"/>
              <c:showVal val="1"/>
            </c:dLbl>
            <c:dLbl>
              <c:idx val="16"/>
              <c:layout>
                <c:manualLayout>
                  <c:xMode val="edge"/>
                  <c:yMode val="edge"/>
                  <c:x val="0.48946191802125832"/>
                  <c:y val="0.28382929761402287"/>
                </c:manualLayout>
              </c:layout>
              <c:dLblPos val="outEnd"/>
              <c:showVal val="1"/>
            </c:dLbl>
            <c:dLbl>
              <c:idx val="17"/>
              <c:layout>
                <c:manualLayout>
                  <c:xMode val="edge"/>
                  <c:yMode val="edge"/>
                  <c:x val="0.55035191739232403"/>
                  <c:y val="0.28052895694409252"/>
                </c:manualLayout>
              </c:layout>
              <c:dLblPos val="outEnd"/>
              <c:showVal val="1"/>
            </c:dLbl>
            <c:dLbl>
              <c:idx val="18"/>
              <c:layout>
                <c:manualLayout>
                  <c:xMode val="edge"/>
                  <c:yMode val="edge"/>
                  <c:x val="0.57845499402512301"/>
                  <c:y val="0.21452214354548196"/>
                </c:manualLayout>
              </c:layout>
              <c:dLblPos val="outEnd"/>
              <c:showVal val="1"/>
            </c:dLbl>
            <c:dLbl>
              <c:idx val="19"/>
              <c:layout>
                <c:manualLayout>
                  <c:xMode val="edge"/>
                  <c:yMode val="edge"/>
                  <c:x val="0.60889999371065662"/>
                  <c:y val="0.26402725359443802"/>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DATOS!$B$2:$E$2</c:f>
              <c:strCache>
                <c:ptCount val="4"/>
                <c:pt idx="0">
                  <c:v>enero-feb y marzo</c:v>
                </c:pt>
                <c:pt idx="1">
                  <c:v>abril-mayo y junio</c:v>
                </c:pt>
                <c:pt idx="2">
                  <c:v>julio-agosto y sept</c:v>
                </c:pt>
                <c:pt idx="3">
                  <c:v>octubre-nov y dic</c:v>
                </c:pt>
              </c:strCache>
            </c:strRef>
          </c:cat>
          <c:val>
            <c:numRef>
              <c:f>DATOS!$B$5:$E$5</c:f>
              <c:numCache>
                <c:formatCode>0%</c:formatCode>
                <c:ptCount val="4"/>
                <c:pt idx="0">
                  <c:v>1</c:v>
                </c:pt>
                <c:pt idx="1">
                  <c:v>1</c:v>
                </c:pt>
                <c:pt idx="2">
                  <c:v>0.91891891891891897</c:v>
                </c:pt>
                <c:pt idx="3">
                  <c:v>1</c:v>
                </c:pt>
              </c:numCache>
            </c:numRef>
          </c:val>
        </c:ser>
        <c:axId val="167244544"/>
        <c:axId val="167246080"/>
      </c:barChart>
      <c:lineChart>
        <c:grouping val="standard"/>
        <c:ser>
          <c:idx val="1"/>
          <c:order val="1"/>
          <c:tx>
            <c:strRef>
              <c:f>DATOS!$A$6</c:f>
              <c:strCache>
                <c:ptCount val="1"/>
                <c:pt idx="0">
                  <c:v>EXCELENTE</c:v>
                </c:pt>
              </c:strCache>
            </c:strRef>
          </c:tx>
          <c:spPr>
            <a:ln w="25400">
              <a:solidFill>
                <a:srgbClr val="FCF305"/>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DATOS!$B$6:$E$6</c:f>
              <c:numCache>
                <c:formatCode>0%</c:formatCode>
                <c:ptCount val="4"/>
                <c:pt idx="0">
                  <c:v>0.9</c:v>
                </c:pt>
                <c:pt idx="1">
                  <c:v>0.9</c:v>
                </c:pt>
                <c:pt idx="2">
                  <c:v>0.9</c:v>
                </c:pt>
                <c:pt idx="3">
                  <c:v>0.9</c:v>
                </c:pt>
              </c:numCache>
            </c:numRef>
          </c:val>
        </c:ser>
        <c:ser>
          <c:idx val="2"/>
          <c:order val="2"/>
          <c:tx>
            <c:strRef>
              <c:f>DATOS!$A$7</c:f>
              <c:strCache>
                <c:ptCount val="1"/>
                <c:pt idx="0">
                  <c:v>REGULAR</c:v>
                </c:pt>
              </c:strCache>
            </c:strRef>
          </c:tx>
          <c:spPr>
            <a:ln w="25400">
              <a:solidFill>
                <a:srgbClr val="00ABEA"/>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DATOS!$B$7:$E$7</c:f>
              <c:numCache>
                <c:formatCode>0%</c:formatCode>
                <c:ptCount val="4"/>
                <c:pt idx="0">
                  <c:v>0.70000000000000062</c:v>
                </c:pt>
                <c:pt idx="1">
                  <c:v>0.70000000000000062</c:v>
                </c:pt>
                <c:pt idx="2">
                  <c:v>0.70000000000000062</c:v>
                </c:pt>
                <c:pt idx="3">
                  <c:v>0.70000000000000062</c:v>
                </c:pt>
              </c:numCache>
            </c:numRef>
          </c:val>
        </c:ser>
        <c:ser>
          <c:idx val="3"/>
          <c:order val="3"/>
          <c:tx>
            <c:strRef>
              <c:f>DATOS!$A$8</c:f>
              <c:strCache>
                <c:ptCount val="1"/>
                <c:pt idx="0">
                  <c:v>DEFICIENTE</c:v>
                </c:pt>
              </c:strCache>
            </c:strRef>
          </c:tx>
          <c:spPr>
            <a:ln w="25400">
              <a:solidFill>
                <a:srgbClr val="DD0806"/>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DATOS!$B$8:$E$8</c:f>
              <c:numCache>
                <c:formatCode>0%</c:formatCode>
                <c:ptCount val="4"/>
                <c:pt idx="0">
                  <c:v>0.60000000000000064</c:v>
                </c:pt>
                <c:pt idx="1">
                  <c:v>0.60000000000000064</c:v>
                </c:pt>
                <c:pt idx="2">
                  <c:v>0.60000000000000064</c:v>
                </c:pt>
                <c:pt idx="3">
                  <c:v>0.60000000000000064</c:v>
                </c:pt>
              </c:numCache>
            </c:numRef>
          </c:val>
        </c:ser>
        <c:marker val="1"/>
        <c:axId val="167244544"/>
        <c:axId val="167246080"/>
      </c:lineChart>
      <c:catAx>
        <c:axId val="167244544"/>
        <c:scaling>
          <c:orientation val="minMax"/>
        </c:scaling>
        <c:axPos val="b"/>
        <c:numFmt formatCode="mmm\-yy" sourceLinked="1"/>
        <c:tickLblPos val="nextTo"/>
        <c:spPr>
          <a:ln w="3175">
            <a:solidFill>
              <a:srgbClr val="000000"/>
            </a:solidFill>
            <a:prstDash val="solid"/>
          </a:ln>
        </c:spPr>
        <c:txPr>
          <a:bodyPr rot="-5400000" vert="horz"/>
          <a:lstStyle/>
          <a:p>
            <a:pPr>
              <a:defRPr sz="900" b="1" i="0" u="none" strike="noStrike" baseline="0">
                <a:solidFill>
                  <a:srgbClr val="000000"/>
                </a:solidFill>
                <a:latin typeface="Arial"/>
                <a:ea typeface="Arial"/>
                <a:cs typeface="Arial"/>
              </a:defRPr>
            </a:pPr>
            <a:endParaRPr lang="es-ES"/>
          </a:p>
        </c:txPr>
        <c:crossAx val="167246080"/>
        <c:crosses val="autoZero"/>
        <c:auto val="1"/>
        <c:lblAlgn val="ctr"/>
        <c:lblOffset val="100"/>
        <c:tickLblSkip val="1"/>
        <c:tickMarkSkip val="1"/>
      </c:catAx>
      <c:valAx>
        <c:axId val="167246080"/>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7244544"/>
        <c:crosses val="autoZero"/>
        <c:crossBetween val="between"/>
        <c:minorUnit val="0.1"/>
      </c:valAx>
      <c:spPr>
        <a:noFill/>
        <a:ln w="25400">
          <a:noFill/>
        </a:ln>
      </c:spPr>
    </c:plotArea>
    <c:legend>
      <c:legendPos val="r"/>
      <c:layout>
        <c:manualLayout>
          <c:xMode val="edge"/>
          <c:yMode val="edge"/>
          <c:x val="0.74280619802079761"/>
          <c:y val="0.19940156917956875"/>
          <c:w val="0.22739665519738791"/>
          <c:h val="0.71547351259426861"/>
        </c:manualLayout>
      </c:layout>
      <c:spPr>
        <a:solidFill>
          <a:srgbClr val="FFFFFF"/>
        </a:solidFill>
        <a:ln w="3175">
          <a:solidFill>
            <a:srgbClr val="000000"/>
          </a:solidFill>
          <a:prstDash val="solid"/>
        </a:ln>
      </c:spPr>
      <c:txPr>
        <a:bodyPr/>
        <a:lstStyle/>
        <a:p>
          <a:pPr>
            <a:defRPr sz="6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EFECTIVIDAD EQUIPOS</a:t>
            </a:r>
            <a:r>
              <a:rPr lang="es-CO" sz="1400" b="1" baseline="0"/>
              <a:t> DE COMPUTO</a:t>
            </a:r>
            <a:endParaRPr lang="es-CO" sz="1400" b="1"/>
          </a:p>
        </c:rich>
      </c:tx>
    </c:title>
    <c:plotArea>
      <c:layout>
        <c:manualLayout>
          <c:layoutTarget val="inner"/>
          <c:xMode val="edge"/>
          <c:yMode val="edge"/>
          <c:x val="0.10981308411215"/>
          <c:y val="0.10526332696746322"/>
          <c:w val="0.60135729339959976"/>
          <c:h val="0.59539569315971563"/>
        </c:manualLayout>
      </c:layout>
      <c:barChart>
        <c:barDir val="col"/>
        <c:grouping val="clustered"/>
        <c:ser>
          <c:idx val="0"/>
          <c:order val="0"/>
          <c:tx>
            <c:strRef>
              <c:f>DATOS!$A$22</c:f>
              <c:strCache>
                <c:ptCount val="1"/>
                <c:pt idx="0">
                  <c:v>EFECTIVIDAD EQUIPOS DE COMPUTO</c:v>
                </c:pt>
              </c:strCache>
            </c:strRef>
          </c:tx>
          <c:spPr>
            <a:solidFill>
              <a:srgbClr val="339966"/>
            </a:solidFill>
            <a:ln w="12700">
              <a:solidFill>
                <a:srgbClr val="000000"/>
              </a:solidFill>
              <a:prstDash val="solid"/>
            </a:ln>
          </c:spPr>
          <c:dLbls>
            <c:dLbl>
              <c:idx val="1"/>
              <c:layout>
                <c:manualLayout>
                  <c:x val="1.6976966664214348E-3"/>
                  <c:y val="-2.7399637716291839E-3"/>
                </c:manualLayout>
              </c:layout>
              <c:dLblPos val="outEnd"/>
              <c:showVal val="1"/>
            </c:dLbl>
            <c:dLbl>
              <c:idx val="2"/>
              <c:layout>
                <c:manualLayout>
                  <c:x val="4.5794392523364714E-3"/>
                  <c:y val="-1.8881454307542504E-2"/>
                </c:manualLayout>
              </c:layout>
              <c:dLblPos val="outEnd"/>
              <c:showVal val="1"/>
            </c:dLbl>
            <c:dLbl>
              <c:idx val="3"/>
              <c:layout>
                <c:manualLayout>
                  <c:x val="8.0839895013123768E-3"/>
                  <c:y val="-2.2170933275275737E-2"/>
                </c:manualLayout>
              </c:layout>
              <c:dLblPos val="outEnd"/>
              <c:showVal val="1"/>
            </c:dLbl>
            <c:dLbl>
              <c:idx val="4"/>
              <c:layout>
                <c:manualLayout>
                  <c:xMode val="edge"/>
                  <c:yMode val="edge"/>
                  <c:x val="0.86448598130841103"/>
                  <c:y val="0.25986883845092501"/>
                </c:manualLayout>
              </c:layout>
              <c:dLblPos val="outEnd"/>
              <c:showVal val="1"/>
            </c:dLbl>
            <c:dLbl>
              <c:idx val="5"/>
              <c:layout>
                <c:manualLayout>
                  <c:xMode val="edge"/>
                  <c:yMode val="edge"/>
                  <c:x val="0.48364485981308408"/>
                  <c:y val="1.9736873806399401E-2"/>
                </c:manualLayout>
              </c:layout>
              <c:dLblPos val="outEnd"/>
              <c:showVal val="1"/>
            </c:dLbl>
            <c:dLbl>
              <c:idx val="6"/>
              <c:layout>
                <c:manualLayout>
                  <c:xMode val="edge"/>
                  <c:yMode val="edge"/>
                  <c:x val="0.58644859813084049"/>
                  <c:y val="1.6447394838666227E-2"/>
                </c:manualLayout>
              </c:layout>
              <c:dLblPos val="outEnd"/>
              <c:showVal val="1"/>
            </c:dLbl>
            <c:dLbl>
              <c:idx val="7"/>
              <c:layout>
                <c:manualLayout>
                  <c:xMode val="edge"/>
                  <c:yMode val="edge"/>
                  <c:x val="0.6728971962616862"/>
                  <c:y val="1.6447394838666227E-2"/>
                </c:manualLayout>
              </c:layout>
              <c:dLblPos val="outEnd"/>
              <c:showVal val="1"/>
            </c:dLbl>
            <c:dLbl>
              <c:idx val="8"/>
              <c:layout>
                <c:manualLayout>
                  <c:xMode val="edge"/>
                  <c:yMode val="edge"/>
                  <c:x val="0.76635514018691597"/>
                  <c:y val="1.6447394838666227E-2"/>
                </c:manualLayout>
              </c:layout>
              <c:dLblPos val="outEnd"/>
              <c:showVal val="1"/>
            </c:dLbl>
            <c:dLbl>
              <c:idx val="9"/>
              <c:layout>
                <c:manualLayout>
                  <c:xMode val="edge"/>
                  <c:yMode val="edge"/>
                  <c:x val="0.76869158878504762"/>
                  <c:y val="1.6447394838666227E-2"/>
                </c:manualLayout>
              </c:layout>
              <c:dLblPos val="outEnd"/>
              <c:showVal val="1"/>
            </c:dLbl>
            <c:dLbl>
              <c:idx val="10"/>
              <c:layout>
                <c:manualLayout>
                  <c:xMode val="edge"/>
                  <c:yMode val="edge"/>
                  <c:x val="0.85981308411214896"/>
                  <c:y val="1.6447394838666227E-2"/>
                </c:manualLayout>
              </c:layout>
              <c:dLblPos val="outEnd"/>
              <c:showVal val="1"/>
            </c:dLbl>
            <c:dLbl>
              <c:idx val="11"/>
              <c:layout>
                <c:manualLayout>
                  <c:xMode val="edge"/>
                  <c:yMode val="edge"/>
                  <c:x val="0.97429906542056333"/>
                  <c:y val="1.6447394838666227E-2"/>
                </c:manualLayout>
              </c:layout>
              <c:dLblPos val="outEnd"/>
              <c:showVal val="1"/>
            </c:dLbl>
            <c:dLbl>
              <c:idx val="12"/>
              <c:layout>
                <c:manualLayout>
                  <c:xMode val="edge"/>
                  <c:yMode val="edge"/>
                  <c:x val="0.39252336448598252"/>
                  <c:y val="0.51973767690185002"/>
                </c:manualLayout>
              </c:layout>
              <c:dLblPos val="outEnd"/>
              <c:showVal val="1"/>
            </c:dLbl>
            <c:dLbl>
              <c:idx val="13"/>
              <c:layout>
                <c:manualLayout>
                  <c:xMode val="edge"/>
                  <c:yMode val="edge"/>
                  <c:x val="0.45327102803738273"/>
                  <c:y val="0.51973767690185002"/>
                </c:manualLayout>
              </c:layout>
              <c:dLblPos val="outEnd"/>
              <c:showVal val="1"/>
            </c:dLbl>
            <c:dLbl>
              <c:idx val="14"/>
              <c:layout>
                <c:manualLayout>
                  <c:xMode val="edge"/>
                  <c:yMode val="edge"/>
                  <c:x val="0.41588785046729032"/>
                  <c:y val="0.59210621419198151"/>
                </c:manualLayout>
              </c:layout>
              <c:dLblPos val="outEnd"/>
              <c:showVal val="1"/>
            </c:dLbl>
            <c:dLbl>
              <c:idx val="15"/>
              <c:layout>
                <c:manualLayout>
                  <c:xMode val="edge"/>
                  <c:yMode val="edge"/>
                  <c:x val="0.51401869158878732"/>
                  <c:y val="0.210526653934927"/>
                </c:manualLayout>
              </c:layout>
              <c:dLblPos val="outEnd"/>
              <c:showVal val="1"/>
            </c:dLbl>
            <c:dLbl>
              <c:idx val="16"/>
              <c:layout>
                <c:manualLayout>
                  <c:xMode val="edge"/>
                  <c:yMode val="edge"/>
                  <c:x val="0.48831775700934804"/>
                  <c:y val="0.28289519122505952"/>
                </c:manualLayout>
              </c:layout>
              <c:dLblPos val="outEnd"/>
              <c:showVal val="1"/>
            </c:dLbl>
            <c:dLbl>
              <c:idx val="17"/>
              <c:layout>
                <c:manualLayout>
                  <c:xMode val="edge"/>
                  <c:yMode val="edge"/>
                  <c:x val="0.54906542056074803"/>
                  <c:y val="0.279605712257325"/>
                </c:manualLayout>
              </c:layout>
              <c:dLblPos val="outEnd"/>
              <c:showVal val="1"/>
            </c:dLbl>
            <c:dLbl>
              <c:idx val="18"/>
              <c:layout>
                <c:manualLayout>
                  <c:xMode val="edge"/>
                  <c:yMode val="edge"/>
                  <c:x val="0.57710280373831802"/>
                  <c:y val="0.21381613290266108"/>
                </c:manualLayout>
              </c:layout>
              <c:dLblPos val="outEnd"/>
              <c:showVal val="1"/>
            </c:dLbl>
            <c:dLbl>
              <c:idx val="19"/>
              <c:layout>
                <c:manualLayout>
                  <c:xMode val="edge"/>
                  <c:yMode val="edge"/>
                  <c:x val="0.60747663551401965"/>
                  <c:y val="0.26315831741865808"/>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DATOS!$B$2:$E$2</c:f>
              <c:strCache>
                <c:ptCount val="4"/>
                <c:pt idx="0">
                  <c:v>enero-feb y marzo</c:v>
                </c:pt>
                <c:pt idx="1">
                  <c:v>abril-mayo y junio</c:v>
                </c:pt>
                <c:pt idx="2">
                  <c:v>julio-agosto y sept</c:v>
                </c:pt>
                <c:pt idx="3">
                  <c:v>octubre-nov y dic</c:v>
                </c:pt>
              </c:strCache>
            </c:strRef>
          </c:cat>
          <c:val>
            <c:numRef>
              <c:f>DATOS!$B$22:$E$22</c:f>
              <c:numCache>
                <c:formatCode>0%</c:formatCode>
                <c:ptCount val="4"/>
                <c:pt idx="0">
                  <c:v>0.82000000000000062</c:v>
                </c:pt>
                <c:pt idx="1">
                  <c:v>0.82000000000000062</c:v>
                </c:pt>
                <c:pt idx="2">
                  <c:v>0.87000000000000233</c:v>
                </c:pt>
                <c:pt idx="3">
                  <c:v>0.87000000000000233</c:v>
                </c:pt>
              </c:numCache>
            </c:numRef>
          </c:val>
        </c:ser>
        <c:axId val="10122368"/>
        <c:axId val="10123904"/>
      </c:barChart>
      <c:lineChart>
        <c:grouping val="standard"/>
        <c:ser>
          <c:idx val="1"/>
          <c:order val="1"/>
          <c:tx>
            <c:strRef>
              <c:f>DATOS!$A$23</c:f>
              <c:strCache>
                <c:ptCount val="1"/>
                <c:pt idx="0">
                  <c:v>EXCELENTE</c:v>
                </c:pt>
              </c:strCache>
            </c:strRef>
          </c:tx>
          <c:spPr>
            <a:ln w="25400">
              <a:solidFill>
                <a:srgbClr val="339966"/>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DATOS!$B$23:$E$23</c:f>
              <c:numCache>
                <c:formatCode>0%</c:formatCode>
                <c:ptCount val="4"/>
                <c:pt idx="0">
                  <c:v>1</c:v>
                </c:pt>
                <c:pt idx="1">
                  <c:v>1</c:v>
                </c:pt>
                <c:pt idx="2">
                  <c:v>1</c:v>
                </c:pt>
                <c:pt idx="3">
                  <c:v>1</c:v>
                </c:pt>
              </c:numCache>
            </c:numRef>
          </c:val>
        </c:ser>
        <c:ser>
          <c:idx val="2"/>
          <c:order val="2"/>
          <c:tx>
            <c:strRef>
              <c:f>DATOS!$A$24</c:f>
              <c:strCache>
                <c:ptCount val="1"/>
                <c:pt idx="0">
                  <c:v>REGULAR</c:v>
                </c:pt>
              </c:strCache>
            </c:strRef>
          </c:tx>
          <c:spPr>
            <a:ln w="25400">
              <a:solidFill>
                <a:srgbClr val="99CC00"/>
              </a:solidFill>
              <a:prstDash val="solid"/>
            </a:ln>
          </c:spPr>
          <c:marker>
            <c:symbol val="none"/>
          </c:marker>
          <c:val>
            <c:numRef>
              <c:f>DATOS!$B$24:$E$24</c:f>
              <c:numCache>
                <c:formatCode>0%</c:formatCode>
                <c:ptCount val="4"/>
                <c:pt idx="0">
                  <c:v>0.8</c:v>
                </c:pt>
                <c:pt idx="1">
                  <c:v>0.8</c:v>
                </c:pt>
                <c:pt idx="2">
                  <c:v>0.8</c:v>
                </c:pt>
                <c:pt idx="3">
                  <c:v>0.8</c:v>
                </c:pt>
              </c:numCache>
            </c:numRef>
          </c:val>
        </c:ser>
        <c:ser>
          <c:idx val="3"/>
          <c:order val="3"/>
          <c:tx>
            <c:strRef>
              <c:f>DATOS!$A$25</c:f>
              <c:strCache>
                <c:ptCount val="1"/>
                <c:pt idx="0">
                  <c:v>DEFICIENTE</c:v>
                </c:pt>
              </c:strCache>
            </c:strRef>
          </c:tx>
          <c:spPr>
            <a:ln w="25400">
              <a:solidFill>
                <a:srgbClr val="666699"/>
              </a:solidFill>
              <a:prstDash val="solid"/>
            </a:ln>
          </c:spPr>
          <c:marker>
            <c:symbol val="none"/>
          </c:marker>
          <c:val>
            <c:numRef>
              <c:f>DATOS!$B$25:$E$25</c:f>
              <c:numCache>
                <c:formatCode>0%</c:formatCode>
                <c:ptCount val="4"/>
                <c:pt idx="0">
                  <c:v>0.70000000000000062</c:v>
                </c:pt>
                <c:pt idx="1">
                  <c:v>0.70000000000000062</c:v>
                </c:pt>
                <c:pt idx="2">
                  <c:v>0.70000000000000062</c:v>
                </c:pt>
                <c:pt idx="3">
                  <c:v>0.70000000000000062</c:v>
                </c:pt>
              </c:numCache>
            </c:numRef>
          </c:val>
        </c:ser>
        <c:marker val="1"/>
        <c:axId val="10122368"/>
        <c:axId val="10123904"/>
      </c:lineChart>
      <c:catAx>
        <c:axId val="10122368"/>
        <c:scaling>
          <c:orientation val="minMax"/>
        </c:scaling>
        <c:axPos val="b"/>
        <c:numFmt formatCode="mmm\-yy" sourceLinked="1"/>
        <c:tickLblPos val="nextTo"/>
        <c:spPr>
          <a:ln w="3175">
            <a:solidFill>
              <a:srgbClr val="000000"/>
            </a:solidFill>
            <a:prstDash val="solid"/>
          </a:ln>
        </c:spPr>
        <c:txPr>
          <a:bodyPr rot="-5400000" vert="horz"/>
          <a:lstStyle/>
          <a:p>
            <a:pPr>
              <a:defRPr sz="900" b="1" i="0" u="none" strike="noStrike" baseline="0">
                <a:solidFill>
                  <a:srgbClr val="000000"/>
                </a:solidFill>
                <a:latin typeface="Arial"/>
                <a:ea typeface="Arial"/>
                <a:cs typeface="Arial"/>
              </a:defRPr>
            </a:pPr>
            <a:endParaRPr lang="es-ES"/>
          </a:p>
        </c:txPr>
        <c:crossAx val="10123904"/>
        <c:crosses val="autoZero"/>
        <c:auto val="1"/>
        <c:lblAlgn val="ctr"/>
        <c:lblOffset val="100"/>
        <c:tickLblSkip val="1"/>
        <c:tickMarkSkip val="1"/>
      </c:catAx>
      <c:valAx>
        <c:axId val="10123904"/>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0122368"/>
        <c:crosses val="autoZero"/>
        <c:crossBetween val="between"/>
        <c:minorUnit val="0.1"/>
      </c:valAx>
      <c:spPr>
        <a:noFill/>
        <a:ln w="25400">
          <a:noFill/>
        </a:ln>
      </c:spPr>
    </c:plotArea>
    <c:legend>
      <c:legendPos val="r"/>
      <c:layout>
        <c:manualLayout>
          <c:xMode val="edge"/>
          <c:yMode val="edge"/>
          <c:x val="0.72406342092317866"/>
          <c:y val="0.1666565411365071"/>
          <c:w val="0.22979368255867691"/>
          <c:h val="0.57161611385674349"/>
        </c:manualLayout>
      </c:layout>
      <c:spPr>
        <a:solidFill>
          <a:srgbClr val="FFFFFF"/>
        </a:solidFill>
        <a:ln w="3175">
          <a:solidFill>
            <a:srgbClr val="000000"/>
          </a:solidFill>
          <a:prstDash val="solid"/>
        </a:ln>
      </c:spPr>
      <c:txPr>
        <a:bodyPr/>
        <a:lstStyle/>
        <a:p>
          <a:pPr>
            <a:defRPr sz="6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00" b="0" i="0" u="none" strike="noStrike" baseline="0">
          <a:solidFill>
            <a:srgbClr val="000000"/>
          </a:solidFill>
          <a:latin typeface="Arial"/>
          <a:ea typeface="Arial"/>
          <a:cs typeface="Arial"/>
        </a:defRPr>
      </a:pPr>
      <a:endParaRPr lang="es-E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es-ES"/>
  <c:roundedCorners val="1"/>
  <c:chart>
    <c:title>
      <c:tx>
        <c:rich>
          <a:bodyPr/>
          <a:lstStyle/>
          <a:p>
            <a:pPr>
              <a:defRPr b="1"/>
            </a:pPr>
            <a:r>
              <a:rPr lang="es-CO" b="1"/>
              <a:t>EFECTIVIDAD</a:t>
            </a:r>
            <a:r>
              <a:rPr lang="es-CO" b="1" baseline="0"/>
              <a:t> </a:t>
            </a:r>
            <a:r>
              <a:rPr lang="es-CO" b="1"/>
              <a:t>SISTEMAS</a:t>
            </a:r>
          </a:p>
        </c:rich>
      </c:tx>
    </c:title>
    <c:plotArea>
      <c:layout>
        <c:manualLayout>
          <c:layoutTarget val="inner"/>
          <c:xMode val="edge"/>
          <c:yMode val="edge"/>
          <c:x val="0.11421937422461002"/>
          <c:y val="9.8360655737704944E-2"/>
          <c:w val="0.62526728231860462"/>
          <c:h val="0.59344262295081951"/>
        </c:manualLayout>
      </c:layout>
      <c:barChart>
        <c:barDir val="col"/>
        <c:grouping val="clustered"/>
        <c:ser>
          <c:idx val="0"/>
          <c:order val="0"/>
          <c:tx>
            <c:strRef>
              <c:f>DATOS!$A$27</c:f>
              <c:strCache>
                <c:ptCount val="1"/>
                <c:pt idx="0">
                  <c:v>EFECTIVIDAD SISTEMAS</c:v>
                </c:pt>
              </c:strCache>
            </c:strRef>
          </c:tx>
          <c:spPr>
            <a:solidFill>
              <a:srgbClr val="FF99CC"/>
            </a:solidFill>
            <a:ln w="12700">
              <a:solidFill>
                <a:srgbClr val="000000"/>
              </a:solidFill>
              <a:prstDash val="solid"/>
            </a:ln>
          </c:spPr>
          <c:dLbls>
            <c:dLbl>
              <c:idx val="0"/>
              <c:layout>
                <c:manualLayout>
                  <c:x val="0"/>
                  <c:y val="-1.7787656696825121E-2"/>
                </c:manualLayout>
              </c:layout>
              <c:dLblPos val="outEnd"/>
              <c:showVal val="1"/>
            </c:dLbl>
            <c:dLbl>
              <c:idx val="1"/>
              <c:layout>
                <c:manualLayout>
                  <c:x val="4.7823694967665462E-3"/>
                  <c:y val="-1.22827761283938E-2"/>
                </c:manualLayout>
              </c:layout>
              <c:dLblPos val="outEnd"/>
              <c:showVal val="1"/>
            </c:dLbl>
            <c:dLbl>
              <c:idx val="2"/>
              <c:layout>
                <c:manualLayout>
                  <c:x val="6.8767627822746756E-4"/>
                  <c:y val="1.9672131147541072E-2"/>
                </c:manualLayout>
              </c:layout>
              <c:dLblPos val="outEnd"/>
              <c:showVal val="1"/>
            </c:dLbl>
            <c:dLbl>
              <c:idx val="3"/>
              <c:layout>
                <c:manualLayout>
                  <c:x val="-2.6146382051894018E-3"/>
                  <c:y val="-2.1857923497267812E-2"/>
                </c:manualLayout>
              </c:layout>
              <c:dLblPos val="outEnd"/>
              <c:showVal val="1"/>
            </c:dLbl>
            <c:dLbl>
              <c:idx val="4"/>
              <c:layout>
                <c:manualLayout>
                  <c:xMode val="edge"/>
                  <c:yMode val="edge"/>
                  <c:x val="0.86247282577766238"/>
                  <c:y val="0.25901639344262434"/>
                </c:manualLayout>
              </c:layout>
              <c:dLblPos val="outEnd"/>
              <c:showVal val="1"/>
            </c:dLbl>
            <c:dLbl>
              <c:idx val="5"/>
              <c:layout>
                <c:manualLayout>
                  <c:xMode val="edge"/>
                  <c:yMode val="edge"/>
                  <c:x val="0.48251858090804833"/>
                  <c:y val="1.9672131147541072E-2"/>
                </c:manualLayout>
              </c:layout>
              <c:dLblPos val="outEnd"/>
              <c:showVal val="1"/>
            </c:dLbl>
            <c:dLbl>
              <c:idx val="6"/>
              <c:layout>
                <c:manualLayout>
                  <c:xMode val="edge"/>
                  <c:yMode val="edge"/>
                  <c:x val="0.58508291694647097"/>
                  <c:y val="1.639344262295081E-2"/>
                </c:manualLayout>
              </c:layout>
              <c:dLblPos val="outEnd"/>
              <c:showVal val="1"/>
            </c:dLbl>
            <c:dLbl>
              <c:idx val="7"/>
              <c:layout>
                <c:manualLayout>
                  <c:xMode val="edge"/>
                  <c:yMode val="edge"/>
                  <c:x val="0.671330199524238"/>
                  <c:y val="1.639344262295081E-2"/>
                </c:manualLayout>
              </c:layout>
              <c:dLblPos val="outEnd"/>
              <c:showVal val="1"/>
            </c:dLbl>
            <c:dLbl>
              <c:idx val="8"/>
              <c:layout>
                <c:manualLayout>
                  <c:xMode val="edge"/>
                  <c:yMode val="edge"/>
                  <c:x val="0.76457050501371504"/>
                  <c:y val="1.639344262295081E-2"/>
                </c:manualLayout>
              </c:layout>
              <c:dLblPos val="outEnd"/>
              <c:showVal val="1"/>
            </c:dLbl>
            <c:dLbl>
              <c:idx val="9"/>
              <c:layout>
                <c:manualLayout>
                  <c:xMode val="edge"/>
                  <c:yMode val="edge"/>
                  <c:x val="0.76690151265095563"/>
                  <c:y val="1.639344262295081E-2"/>
                </c:manualLayout>
              </c:layout>
              <c:dLblPos val="outEnd"/>
              <c:showVal val="1"/>
            </c:dLbl>
            <c:dLbl>
              <c:idx val="10"/>
              <c:layout>
                <c:manualLayout>
                  <c:xMode val="edge"/>
                  <c:yMode val="edge"/>
                  <c:x val="0.85781081050319896"/>
                  <c:y val="1.639344262295081E-2"/>
                </c:manualLayout>
              </c:layout>
              <c:dLblPos val="outEnd"/>
              <c:showVal val="1"/>
            </c:dLbl>
            <c:dLbl>
              <c:idx val="11"/>
              <c:layout>
                <c:manualLayout>
                  <c:xMode val="edge"/>
                  <c:yMode val="edge"/>
                  <c:x val="0.97203018472780156"/>
                  <c:y val="1.639344262295081E-2"/>
                </c:manualLayout>
              </c:layout>
              <c:dLblPos val="outEnd"/>
              <c:showVal val="1"/>
            </c:dLbl>
            <c:dLbl>
              <c:idx val="12"/>
              <c:layout>
                <c:manualLayout>
                  <c:xMode val="edge"/>
                  <c:yMode val="edge"/>
                  <c:x val="0.39160928305580733"/>
                  <c:y val="0.5180327868852419"/>
                </c:manualLayout>
              </c:layout>
              <c:dLblPos val="outEnd"/>
              <c:showVal val="1"/>
            </c:dLbl>
            <c:dLbl>
              <c:idx val="13"/>
              <c:layout>
                <c:manualLayout>
                  <c:xMode val="edge"/>
                  <c:yMode val="edge"/>
                  <c:x val="0.45221548162396602"/>
                  <c:y val="0.5180327868852419"/>
                </c:manualLayout>
              </c:layout>
              <c:dLblPos val="outEnd"/>
              <c:showVal val="1"/>
            </c:dLbl>
            <c:dLbl>
              <c:idx val="14"/>
              <c:layout>
                <c:manualLayout>
                  <c:xMode val="edge"/>
                  <c:yMode val="edge"/>
                  <c:x val="0.41491935942817493"/>
                  <c:y val="0.5901639344262255"/>
                </c:manualLayout>
              </c:layout>
              <c:dLblPos val="outEnd"/>
              <c:showVal val="1"/>
            </c:dLbl>
            <c:dLbl>
              <c:idx val="15"/>
              <c:layout>
                <c:manualLayout>
                  <c:xMode val="edge"/>
                  <c:yMode val="edge"/>
                  <c:x val="0.51282168019212604"/>
                  <c:y val="0.20983606557377021"/>
                </c:manualLayout>
              </c:layout>
              <c:dLblPos val="outEnd"/>
              <c:showVal val="1"/>
            </c:dLbl>
            <c:dLbl>
              <c:idx val="16"/>
              <c:layout>
                <c:manualLayout>
                  <c:xMode val="edge"/>
                  <c:yMode val="edge"/>
                  <c:x val="0.48718059618252152"/>
                  <c:y val="0.28196721311475575"/>
                </c:manualLayout>
              </c:layout>
              <c:dLblPos val="outEnd"/>
              <c:showVal val="1"/>
            </c:dLbl>
            <c:dLbl>
              <c:idx val="17"/>
              <c:layout>
                <c:manualLayout>
                  <c:xMode val="edge"/>
                  <c:yMode val="edge"/>
                  <c:x val="0.54778679475067948"/>
                  <c:y val="0.27868852459016402"/>
                </c:manualLayout>
              </c:layout>
              <c:dLblPos val="outEnd"/>
              <c:showVal val="1"/>
            </c:dLbl>
            <c:dLbl>
              <c:idx val="18"/>
              <c:layout>
                <c:manualLayout>
                  <c:xMode val="edge"/>
                  <c:yMode val="edge"/>
                  <c:x val="0.57575888639752604"/>
                  <c:y val="0.21311475409836161"/>
                </c:manualLayout>
              </c:layout>
              <c:dLblPos val="outEnd"/>
              <c:showVal val="1"/>
            </c:dLbl>
            <c:dLbl>
              <c:idx val="19"/>
              <c:layout>
                <c:manualLayout>
                  <c:xMode val="edge"/>
                  <c:yMode val="edge"/>
                  <c:x val="0.60606198568160297"/>
                  <c:y val="0.26229508196721302"/>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DATOS!$B$2:$E$2</c:f>
              <c:strCache>
                <c:ptCount val="4"/>
                <c:pt idx="0">
                  <c:v>enero-feb y marzo</c:v>
                </c:pt>
                <c:pt idx="1">
                  <c:v>abril-mayo y junio</c:v>
                </c:pt>
                <c:pt idx="2">
                  <c:v>julio-agosto y sept</c:v>
                </c:pt>
                <c:pt idx="3">
                  <c:v>octubre-nov y dic</c:v>
                </c:pt>
              </c:strCache>
            </c:strRef>
          </c:cat>
          <c:val>
            <c:numRef>
              <c:f>DATOS!$B$27:$E$27</c:f>
              <c:numCache>
                <c:formatCode>0%</c:formatCode>
                <c:ptCount val="4"/>
                <c:pt idx="0">
                  <c:v>0.93</c:v>
                </c:pt>
                <c:pt idx="1">
                  <c:v>0.99</c:v>
                </c:pt>
                <c:pt idx="2">
                  <c:v>0.88</c:v>
                </c:pt>
                <c:pt idx="3">
                  <c:v>0.89</c:v>
                </c:pt>
              </c:numCache>
            </c:numRef>
          </c:val>
        </c:ser>
        <c:axId val="167486976"/>
        <c:axId val="167488512"/>
      </c:barChart>
      <c:lineChart>
        <c:grouping val="standard"/>
        <c:ser>
          <c:idx val="1"/>
          <c:order val="1"/>
          <c:tx>
            <c:strRef>
              <c:f>DATOS!$A$28</c:f>
              <c:strCache>
                <c:ptCount val="1"/>
                <c:pt idx="0">
                  <c:v>EXCELENTE</c:v>
                </c:pt>
              </c:strCache>
            </c:strRef>
          </c:tx>
          <c:spPr>
            <a:ln w="25400">
              <a:solidFill>
                <a:srgbClr val="339966"/>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DATOS!$B$28:$E$28</c:f>
              <c:numCache>
                <c:formatCode>0%</c:formatCode>
                <c:ptCount val="4"/>
                <c:pt idx="0">
                  <c:v>1</c:v>
                </c:pt>
                <c:pt idx="1">
                  <c:v>1</c:v>
                </c:pt>
                <c:pt idx="2">
                  <c:v>1</c:v>
                </c:pt>
                <c:pt idx="3">
                  <c:v>1</c:v>
                </c:pt>
              </c:numCache>
            </c:numRef>
          </c:val>
        </c:ser>
        <c:ser>
          <c:idx val="2"/>
          <c:order val="2"/>
          <c:tx>
            <c:strRef>
              <c:f>DATOS!$A$29</c:f>
              <c:strCache>
                <c:ptCount val="1"/>
                <c:pt idx="0">
                  <c:v>REGULAR</c:v>
                </c:pt>
              </c:strCache>
            </c:strRef>
          </c:tx>
          <c:spPr>
            <a:ln w="25400">
              <a:solidFill>
                <a:srgbClr val="99CC00"/>
              </a:solidFill>
              <a:prstDash val="solid"/>
            </a:ln>
          </c:spPr>
          <c:marker>
            <c:symbol val="none"/>
          </c:marker>
          <c:val>
            <c:numRef>
              <c:f>DATOS!$B$29:$E$29</c:f>
              <c:numCache>
                <c:formatCode>0%</c:formatCode>
                <c:ptCount val="4"/>
                <c:pt idx="0">
                  <c:v>0.8</c:v>
                </c:pt>
                <c:pt idx="1">
                  <c:v>0.8</c:v>
                </c:pt>
                <c:pt idx="2">
                  <c:v>0.8</c:v>
                </c:pt>
                <c:pt idx="3">
                  <c:v>0.8</c:v>
                </c:pt>
              </c:numCache>
            </c:numRef>
          </c:val>
        </c:ser>
        <c:ser>
          <c:idx val="3"/>
          <c:order val="3"/>
          <c:tx>
            <c:strRef>
              <c:f>DATOS!$A$30</c:f>
              <c:strCache>
                <c:ptCount val="1"/>
                <c:pt idx="0">
                  <c:v>DEFICIENTE</c:v>
                </c:pt>
              </c:strCache>
            </c:strRef>
          </c:tx>
          <c:spPr>
            <a:ln w="25400">
              <a:solidFill>
                <a:srgbClr val="666699"/>
              </a:solidFill>
              <a:prstDash val="solid"/>
            </a:ln>
          </c:spPr>
          <c:marker>
            <c:symbol val="none"/>
          </c:marker>
          <c:val>
            <c:numRef>
              <c:f>DATOS!$B$30:$E$30</c:f>
              <c:numCache>
                <c:formatCode>0%</c:formatCode>
                <c:ptCount val="4"/>
                <c:pt idx="0">
                  <c:v>0.70000000000000062</c:v>
                </c:pt>
                <c:pt idx="1">
                  <c:v>0.70000000000000062</c:v>
                </c:pt>
                <c:pt idx="2">
                  <c:v>0.70000000000000062</c:v>
                </c:pt>
                <c:pt idx="3">
                  <c:v>0.70000000000000062</c:v>
                </c:pt>
              </c:numCache>
            </c:numRef>
          </c:val>
        </c:ser>
        <c:marker val="1"/>
        <c:axId val="167486976"/>
        <c:axId val="167488512"/>
      </c:lineChart>
      <c:catAx>
        <c:axId val="167486976"/>
        <c:scaling>
          <c:orientation val="minMax"/>
        </c:scaling>
        <c:axPos val="b"/>
        <c:numFmt formatCode="mmm\-yy" sourceLinked="1"/>
        <c:tickLblPos val="nextTo"/>
        <c:spPr>
          <a:ln w="3175">
            <a:solidFill>
              <a:srgbClr val="000000"/>
            </a:solidFill>
            <a:prstDash val="solid"/>
          </a:ln>
        </c:spPr>
        <c:txPr>
          <a:bodyPr rot="-5400000" vert="horz"/>
          <a:lstStyle/>
          <a:p>
            <a:pPr>
              <a:defRPr sz="900" b="1" i="0" u="none" strike="noStrike" baseline="0">
                <a:solidFill>
                  <a:srgbClr val="000000"/>
                </a:solidFill>
                <a:latin typeface="Arial"/>
                <a:ea typeface="Arial"/>
                <a:cs typeface="Arial"/>
              </a:defRPr>
            </a:pPr>
            <a:endParaRPr lang="es-ES"/>
          </a:p>
        </c:txPr>
        <c:crossAx val="167488512"/>
        <c:crosses val="autoZero"/>
        <c:auto val="1"/>
        <c:lblAlgn val="ctr"/>
        <c:lblOffset val="100"/>
        <c:tickLblSkip val="1"/>
        <c:tickMarkSkip val="1"/>
      </c:catAx>
      <c:valAx>
        <c:axId val="167488512"/>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7486976"/>
        <c:crosses val="autoZero"/>
        <c:crossBetween val="between"/>
        <c:minorUnit val="0.1"/>
      </c:valAx>
      <c:spPr>
        <a:noFill/>
        <a:ln w="25400">
          <a:noFill/>
        </a:ln>
      </c:spPr>
    </c:plotArea>
    <c:legend>
      <c:legendPos val="r"/>
      <c:layout>
        <c:manualLayout>
          <c:xMode val="edge"/>
          <c:yMode val="edge"/>
          <c:x val="0.73788050989176057"/>
          <c:y val="0.18127239801861611"/>
          <c:w val="0.23160747535478488"/>
          <c:h val="0.60337078270096556"/>
        </c:manualLayout>
      </c:layout>
      <c:spPr>
        <a:solidFill>
          <a:srgbClr val="FFFFFF"/>
        </a:solidFill>
        <a:ln w="3175">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00" b="0" i="0" u="none" strike="noStrike" baseline="0">
          <a:solidFill>
            <a:srgbClr val="000000"/>
          </a:solidFill>
          <a:latin typeface="Arial"/>
          <a:ea typeface="Arial"/>
          <a:cs typeface="Arial"/>
        </a:defRPr>
      </a:pPr>
      <a:endParaRPr lang="es-E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1421937422461002"/>
          <c:y val="9.8360655737704944E-2"/>
          <c:w val="0.87412786396385356"/>
          <c:h val="0.59344262295081951"/>
        </c:manualLayout>
      </c:layout>
      <c:barChart>
        <c:barDir val="col"/>
        <c:grouping val="clustered"/>
        <c:ser>
          <c:idx val="0"/>
          <c:order val="0"/>
          <c:tx>
            <c:strRef>
              <c:f>DATOS!$A$32</c:f>
              <c:strCache>
                <c:ptCount val="1"/>
                <c:pt idx="0">
                  <c:v>CUMPLIMIENTO CRONOGRAMA DE MANTENIMIENTO</c:v>
                </c:pt>
              </c:strCache>
            </c:strRef>
          </c:tx>
          <c:spPr>
            <a:solidFill>
              <a:srgbClr val="FF99CC"/>
            </a:solidFill>
            <a:ln w="12700">
              <a:solidFill>
                <a:srgbClr val="000000"/>
              </a:solidFill>
              <a:prstDash val="solid"/>
            </a:ln>
          </c:spPr>
          <c:dLbls>
            <c:dLbl>
              <c:idx val="1"/>
              <c:layout>
                <c:manualLayout>
                  <c:x val="4.7823694967665462E-3"/>
                  <c:y val="-1.22827761283938E-2"/>
                </c:manualLayout>
              </c:layout>
              <c:dLblPos val="outEnd"/>
              <c:showVal val="1"/>
            </c:dLbl>
            <c:dLbl>
              <c:idx val="2"/>
              <c:layout>
                <c:manualLayout>
                  <c:x val="6.8767627822746756E-4"/>
                  <c:y val="1.9672131147541072E-2"/>
                </c:manualLayout>
              </c:layout>
              <c:dLblPos val="outEnd"/>
              <c:showVal val="1"/>
            </c:dLbl>
            <c:dLbl>
              <c:idx val="3"/>
              <c:layout>
                <c:manualLayout>
                  <c:x val="-2.6146382051894018E-3"/>
                  <c:y val="-2.1857923497267812E-2"/>
                </c:manualLayout>
              </c:layout>
              <c:dLblPos val="outEnd"/>
              <c:showVal val="1"/>
            </c:dLbl>
            <c:dLbl>
              <c:idx val="4"/>
              <c:layout>
                <c:manualLayout>
                  <c:xMode val="edge"/>
                  <c:yMode val="edge"/>
                  <c:x val="0.86247282577766238"/>
                  <c:y val="0.25901639344262434"/>
                </c:manualLayout>
              </c:layout>
              <c:dLblPos val="outEnd"/>
              <c:showVal val="1"/>
            </c:dLbl>
            <c:dLbl>
              <c:idx val="5"/>
              <c:layout>
                <c:manualLayout>
                  <c:xMode val="edge"/>
                  <c:yMode val="edge"/>
                  <c:x val="0.48251858090804833"/>
                  <c:y val="1.9672131147541072E-2"/>
                </c:manualLayout>
              </c:layout>
              <c:dLblPos val="outEnd"/>
              <c:showVal val="1"/>
            </c:dLbl>
            <c:dLbl>
              <c:idx val="6"/>
              <c:layout>
                <c:manualLayout>
                  <c:xMode val="edge"/>
                  <c:yMode val="edge"/>
                  <c:x val="0.58508291694647097"/>
                  <c:y val="1.639344262295081E-2"/>
                </c:manualLayout>
              </c:layout>
              <c:dLblPos val="outEnd"/>
              <c:showVal val="1"/>
            </c:dLbl>
            <c:dLbl>
              <c:idx val="7"/>
              <c:layout>
                <c:manualLayout>
                  <c:xMode val="edge"/>
                  <c:yMode val="edge"/>
                  <c:x val="0.671330199524238"/>
                  <c:y val="1.639344262295081E-2"/>
                </c:manualLayout>
              </c:layout>
              <c:dLblPos val="outEnd"/>
              <c:showVal val="1"/>
            </c:dLbl>
            <c:dLbl>
              <c:idx val="8"/>
              <c:layout>
                <c:manualLayout>
                  <c:xMode val="edge"/>
                  <c:yMode val="edge"/>
                  <c:x val="0.76457050501371504"/>
                  <c:y val="1.639344262295081E-2"/>
                </c:manualLayout>
              </c:layout>
              <c:dLblPos val="outEnd"/>
              <c:showVal val="1"/>
            </c:dLbl>
            <c:dLbl>
              <c:idx val="9"/>
              <c:layout>
                <c:manualLayout>
                  <c:xMode val="edge"/>
                  <c:yMode val="edge"/>
                  <c:x val="0.76690151265095563"/>
                  <c:y val="1.639344262295081E-2"/>
                </c:manualLayout>
              </c:layout>
              <c:dLblPos val="outEnd"/>
              <c:showVal val="1"/>
            </c:dLbl>
            <c:dLbl>
              <c:idx val="10"/>
              <c:layout>
                <c:manualLayout>
                  <c:xMode val="edge"/>
                  <c:yMode val="edge"/>
                  <c:x val="0.85781081050319896"/>
                  <c:y val="1.639344262295081E-2"/>
                </c:manualLayout>
              </c:layout>
              <c:dLblPos val="outEnd"/>
              <c:showVal val="1"/>
            </c:dLbl>
            <c:dLbl>
              <c:idx val="11"/>
              <c:layout>
                <c:manualLayout>
                  <c:xMode val="edge"/>
                  <c:yMode val="edge"/>
                  <c:x val="0.97203018472780156"/>
                  <c:y val="1.639344262295081E-2"/>
                </c:manualLayout>
              </c:layout>
              <c:dLblPos val="outEnd"/>
              <c:showVal val="1"/>
            </c:dLbl>
            <c:dLbl>
              <c:idx val="12"/>
              <c:layout>
                <c:manualLayout>
                  <c:xMode val="edge"/>
                  <c:yMode val="edge"/>
                  <c:x val="0.39160928305580733"/>
                  <c:y val="0.5180327868852419"/>
                </c:manualLayout>
              </c:layout>
              <c:dLblPos val="outEnd"/>
              <c:showVal val="1"/>
            </c:dLbl>
            <c:dLbl>
              <c:idx val="13"/>
              <c:layout>
                <c:manualLayout>
                  <c:xMode val="edge"/>
                  <c:yMode val="edge"/>
                  <c:x val="0.45221548162396602"/>
                  <c:y val="0.5180327868852419"/>
                </c:manualLayout>
              </c:layout>
              <c:dLblPos val="outEnd"/>
              <c:showVal val="1"/>
            </c:dLbl>
            <c:dLbl>
              <c:idx val="14"/>
              <c:layout>
                <c:manualLayout>
                  <c:xMode val="edge"/>
                  <c:yMode val="edge"/>
                  <c:x val="0.41491935942817493"/>
                  <c:y val="0.5901639344262255"/>
                </c:manualLayout>
              </c:layout>
              <c:dLblPos val="outEnd"/>
              <c:showVal val="1"/>
            </c:dLbl>
            <c:dLbl>
              <c:idx val="15"/>
              <c:layout>
                <c:manualLayout>
                  <c:xMode val="edge"/>
                  <c:yMode val="edge"/>
                  <c:x val="0.51282168019212604"/>
                  <c:y val="0.20983606557377021"/>
                </c:manualLayout>
              </c:layout>
              <c:dLblPos val="outEnd"/>
              <c:showVal val="1"/>
            </c:dLbl>
            <c:dLbl>
              <c:idx val="16"/>
              <c:layout>
                <c:manualLayout>
                  <c:xMode val="edge"/>
                  <c:yMode val="edge"/>
                  <c:x val="0.48718059618252152"/>
                  <c:y val="0.28196721311475575"/>
                </c:manualLayout>
              </c:layout>
              <c:dLblPos val="outEnd"/>
              <c:showVal val="1"/>
            </c:dLbl>
            <c:dLbl>
              <c:idx val="17"/>
              <c:layout>
                <c:manualLayout>
                  <c:xMode val="edge"/>
                  <c:yMode val="edge"/>
                  <c:x val="0.54778679475067948"/>
                  <c:y val="0.27868852459016402"/>
                </c:manualLayout>
              </c:layout>
              <c:dLblPos val="outEnd"/>
              <c:showVal val="1"/>
            </c:dLbl>
            <c:dLbl>
              <c:idx val="18"/>
              <c:layout>
                <c:manualLayout>
                  <c:xMode val="edge"/>
                  <c:yMode val="edge"/>
                  <c:x val="0.57575888639752604"/>
                  <c:y val="0.21311475409836161"/>
                </c:manualLayout>
              </c:layout>
              <c:dLblPos val="outEnd"/>
              <c:showVal val="1"/>
            </c:dLbl>
            <c:dLbl>
              <c:idx val="19"/>
              <c:layout>
                <c:manualLayout>
                  <c:xMode val="edge"/>
                  <c:yMode val="edge"/>
                  <c:x val="0.60606198568160297"/>
                  <c:y val="0.26229508196721302"/>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DATOS!$B$2:$E$2</c:f>
              <c:strCache>
                <c:ptCount val="4"/>
                <c:pt idx="0">
                  <c:v>enero-feb y marzo</c:v>
                </c:pt>
                <c:pt idx="1">
                  <c:v>abril-mayo y junio</c:v>
                </c:pt>
                <c:pt idx="2">
                  <c:v>julio-agosto y sept</c:v>
                </c:pt>
                <c:pt idx="3">
                  <c:v>octubre-nov y dic</c:v>
                </c:pt>
              </c:strCache>
            </c:strRef>
          </c:cat>
          <c:val>
            <c:numRef>
              <c:f>DATOS!$B$32:$E$32</c:f>
              <c:numCache>
                <c:formatCode>0%</c:formatCode>
                <c:ptCount val="4"/>
                <c:pt idx="0">
                  <c:v>1</c:v>
                </c:pt>
                <c:pt idx="1">
                  <c:v>1</c:v>
                </c:pt>
                <c:pt idx="2">
                  <c:v>1</c:v>
                </c:pt>
                <c:pt idx="3">
                  <c:v>1</c:v>
                </c:pt>
              </c:numCache>
            </c:numRef>
          </c:val>
        </c:ser>
        <c:axId val="167436672"/>
        <c:axId val="167438208"/>
      </c:barChart>
      <c:lineChart>
        <c:grouping val="standard"/>
        <c:ser>
          <c:idx val="1"/>
          <c:order val="1"/>
          <c:tx>
            <c:strRef>
              <c:f>DATOS!$A$33</c:f>
              <c:strCache>
                <c:ptCount val="1"/>
                <c:pt idx="0">
                  <c:v>META CUMPLIMIENTO CONTRATO</c:v>
                </c:pt>
              </c:strCache>
            </c:strRef>
          </c:tx>
          <c:spPr>
            <a:ln w="25400">
              <a:solidFill>
                <a:srgbClr val="339966"/>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DATOS!$B$33:$E$33</c:f>
              <c:numCache>
                <c:formatCode>0%</c:formatCode>
                <c:ptCount val="4"/>
                <c:pt idx="0">
                  <c:v>1</c:v>
                </c:pt>
                <c:pt idx="1">
                  <c:v>1</c:v>
                </c:pt>
                <c:pt idx="2">
                  <c:v>1</c:v>
                </c:pt>
                <c:pt idx="3">
                  <c:v>1</c:v>
                </c:pt>
              </c:numCache>
            </c:numRef>
          </c:val>
        </c:ser>
        <c:marker val="1"/>
        <c:axId val="167436672"/>
        <c:axId val="167438208"/>
      </c:lineChart>
      <c:catAx>
        <c:axId val="167436672"/>
        <c:scaling>
          <c:orientation val="minMax"/>
        </c:scaling>
        <c:axPos val="b"/>
        <c:numFmt formatCode="mmm\-yy" sourceLinked="1"/>
        <c:tickLblPos val="nextTo"/>
        <c:spPr>
          <a:ln w="3175">
            <a:solidFill>
              <a:srgbClr val="000000"/>
            </a:solidFill>
            <a:prstDash val="solid"/>
          </a:ln>
        </c:spPr>
        <c:txPr>
          <a:bodyPr rot="-5400000" vert="horz"/>
          <a:lstStyle/>
          <a:p>
            <a:pPr>
              <a:defRPr sz="900" b="1" i="0" u="none" strike="noStrike" baseline="0">
                <a:solidFill>
                  <a:srgbClr val="000000"/>
                </a:solidFill>
                <a:latin typeface="Arial"/>
                <a:ea typeface="Arial"/>
                <a:cs typeface="Arial"/>
              </a:defRPr>
            </a:pPr>
            <a:endParaRPr lang="es-ES"/>
          </a:p>
        </c:txPr>
        <c:crossAx val="167438208"/>
        <c:crosses val="autoZero"/>
        <c:auto val="1"/>
        <c:lblAlgn val="ctr"/>
        <c:lblOffset val="100"/>
        <c:tickLblSkip val="1"/>
        <c:tickMarkSkip val="1"/>
      </c:catAx>
      <c:valAx>
        <c:axId val="167438208"/>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7436672"/>
        <c:crosses val="autoZero"/>
        <c:crossBetween val="between"/>
        <c:minorUnit val="0.1"/>
      </c:valAx>
      <c:spPr>
        <a:noFill/>
        <a:ln w="25400">
          <a:noFill/>
        </a:ln>
      </c:spPr>
    </c:plotArea>
    <c:legend>
      <c:legendPos val="r"/>
      <c:layout>
        <c:manualLayout>
          <c:xMode val="edge"/>
          <c:yMode val="edge"/>
          <c:x val="0.17307698111967401"/>
          <c:y val="3.7037078899331416E-2"/>
          <c:w val="0.72802222217005563"/>
          <c:h val="0.15277795045974221"/>
        </c:manualLayout>
      </c:layout>
      <c:spPr>
        <a:solidFill>
          <a:srgbClr val="FFFFFF"/>
        </a:solidFill>
        <a:ln w="3175">
          <a:solidFill>
            <a:srgbClr val="000000"/>
          </a:solidFill>
          <a:prstDash val="solid"/>
        </a:ln>
      </c:spPr>
      <c:txPr>
        <a:bodyPr/>
        <a:lstStyle/>
        <a:p>
          <a:pPr>
            <a:defRPr sz="42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00" b="0" i="0" u="none" strike="noStrike" baseline="0">
          <a:solidFill>
            <a:srgbClr val="000000"/>
          </a:solidFill>
          <a:latin typeface="Arial"/>
          <a:ea typeface="Arial"/>
          <a:cs typeface="Arial"/>
        </a:defRPr>
      </a:pPr>
      <a:endParaRPr lang="es-E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 EFICACIA SOLUCION A LOS EQUIPOS DE COMPUTO</a:t>
            </a:r>
          </a:p>
        </c:rich>
      </c:tx>
    </c:title>
    <c:plotArea>
      <c:layout>
        <c:manualLayout>
          <c:layoutTarget val="inner"/>
          <c:xMode val="edge"/>
          <c:yMode val="edge"/>
          <c:x val="0.110070383478465"/>
          <c:y val="0.105610901437775"/>
          <c:w val="0.58078640775206858"/>
          <c:h val="0.59406132058748551"/>
        </c:manualLayout>
      </c:layout>
      <c:barChart>
        <c:barDir val="col"/>
        <c:grouping val="clustered"/>
        <c:ser>
          <c:idx val="0"/>
          <c:order val="0"/>
          <c:tx>
            <c:strRef>
              <c:f>DATOS!$A$5</c:f>
              <c:strCache>
                <c:ptCount val="1"/>
                <c:pt idx="0">
                  <c:v>% EFICACIA SOLUCION SISTEMAS A LOS EQUIPOS DE COMPUTO TANTO DE HARDWARE COMO SOFTWARE</c:v>
                </c:pt>
              </c:strCache>
            </c:strRef>
          </c:tx>
          <c:spPr>
            <a:solidFill>
              <a:srgbClr val="009900"/>
            </a:solidFill>
            <a:ln w="12700">
              <a:solidFill>
                <a:srgbClr val="000000"/>
              </a:solidFill>
              <a:prstDash val="solid"/>
            </a:ln>
          </c:spPr>
          <c:dLbls>
            <c:dLbl>
              <c:idx val="1"/>
              <c:layout>
                <c:manualLayout>
                  <c:x val="8.903210949145984E-3"/>
                  <c:y val="-2.4973594545640607E-2"/>
                </c:manualLayout>
              </c:layout>
              <c:dLblPos val="outEnd"/>
              <c:showVal val="1"/>
            </c:dLbl>
            <c:dLbl>
              <c:idx val="2"/>
              <c:layout>
                <c:manualLayout>
                  <c:x val="3.7118985143599612E-3"/>
                  <c:y val="-1.8944168114706963E-2"/>
                </c:manualLayout>
              </c:layout>
              <c:dLblPos val="outEnd"/>
              <c:showVal val="1"/>
            </c:dLbl>
            <c:dLbl>
              <c:idx val="3"/>
              <c:layout>
                <c:manualLayout>
                  <c:x val="7.8103291793915905E-3"/>
                  <c:y val="-2.2244508784637407E-2"/>
                </c:manualLayout>
              </c:layout>
              <c:dLblPos val="outEnd"/>
              <c:showVal val="1"/>
            </c:dLbl>
            <c:dLbl>
              <c:idx val="4"/>
              <c:layout>
                <c:manualLayout>
                  <c:xMode val="edge"/>
                  <c:yMode val="edge"/>
                  <c:x val="0.87353729866952068"/>
                  <c:y val="0.63696574929658556"/>
                </c:manualLayout>
              </c:layout>
              <c:dLblPos val="outEnd"/>
              <c:showVal val="1"/>
            </c:dLbl>
            <c:dLbl>
              <c:idx val="5"/>
              <c:layout>
                <c:manualLayout>
                  <c:xMode val="edge"/>
                  <c:yMode val="edge"/>
                  <c:x val="0.48477807191579275"/>
                  <c:y val="1.980204401958301E-2"/>
                </c:manualLayout>
              </c:layout>
              <c:dLblPos val="outEnd"/>
              <c:showVal val="1"/>
            </c:dLbl>
            <c:dLbl>
              <c:idx val="6"/>
              <c:layout>
                <c:manualLayout>
                  <c:xMode val="edge"/>
                  <c:yMode val="edge"/>
                  <c:x val="0.58782268623605549"/>
                  <c:y val="1.6501703349652522E-2"/>
                </c:manualLayout>
              </c:layout>
              <c:dLblPos val="outEnd"/>
              <c:showVal val="1"/>
            </c:dLbl>
            <c:dLbl>
              <c:idx val="7"/>
              <c:layout>
                <c:manualLayout>
                  <c:xMode val="edge"/>
                  <c:yMode val="edge"/>
                  <c:x val="0.6744738391871915"/>
                  <c:y val="1.6501703349652522E-2"/>
                </c:manualLayout>
              </c:layout>
              <c:dLblPos val="outEnd"/>
              <c:showVal val="1"/>
            </c:dLbl>
            <c:dLbl>
              <c:idx val="8"/>
              <c:layout>
                <c:manualLayout>
                  <c:xMode val="edge"/>
                  <c:yMode val="edge"/>
                  <c:x val="0.76815076129652005"/>
                  <c:y val="1.6501703349652522E-2"/>
                </c:manualLayout>
              </c:layout>
              <c:dLblPos val="outEnd"/>
              <c:showVal val="1"/>
            </c:dLbl>
            <c:dLbl>
              <c:idx val="9"/>
              <c:layout>
                <c:manualLayout>
                  <c:xMode val="edge"/>
                  <c:yMode val="edge"/>
                  <c:x val="0.770492684349253"/>
                  <c:y val="1.6501703349652522E-2"/>
                </c:manualLayout>
              </c:layout>
              <c:dLblPos val="outEnd"/>
              <c:showVal val="1"/>
            </c:dLbl>
            <c:dLbl>
              <c:idx val="10"/>
              <c:layout>
                <c:manualLayout>
                  <c:xMode val="edge"/>
                  <c:yMode val="edge"/>
                  <c:x val="0.86182768340585403"/>
                  <c:y val="1.6501703349652522E-2"/>
                </c:manualLayout>
              </c:layout>
              <c:dLblPos val="outEnd"/>
              <c:showVal val="1"/>
            </c:dLbl>
            <c:dLbl>
              <c:idx val="11"/>
              <c:layout>
                <c:manualLayout>
                  <c:xMode val="edge"/>
                  <c:yMode val="edge"/>
                  <c:x val="0.97658191298978603"/>
                  <c:y val="1.6501703349652522E-2"/>
                </c:manualLayout>
              </c:layout>
              <c:dLblPos val="outEnd"/>
              <c:showVal val="1"/>
            </c:dLbl>
            <c:dLbl>
              <c:idx val="12"/>
              <c:layout>
                <c:manualLayout>
                  <c:xMode val="edge"/>
                  <c:yMode val="edge"/>
                  <c:x val="0.39344307285919417"/>
                  <c:y val="0.52145382584901556"/>
                </c:manualLayout>
              </c:layout>
              <c:dLblPos val="outEnd"/>
              <c:showVal val="1"/>
            </c:dLbl>
            <c:dLbl>
              <c:idx val="13"/>
              <c:layout>
                <c:manualLayout>
                  <c:xMode val="edge"/>
                  <c:yMode val="edge"/>
                  <c:x val="0.45433307223025932"/>
                  <c:y val="0.52145382584901556"/>
                </c:manualLayout>
              </c:layout>
              <c:dLblPos val="outEnd"/>
              <c:showVal val="1"/>
            </c:dLbl>
            <c:dLbl>
              <c:idx val="14"/>
              <c:layout>
                <c:manualLayout>
                  <c:xMode val="edge"/>
                  <c:yMode val="edge"/>
                  <c:x val="0.41686230338652752"/>
                  <c:y val="0.59406132058748551"/>
                </c:manualLayout>
              </c:layout>
              <c:dLblPos val="outEnd"/>
              <c:showVal val="1"/>
            </c:dLbl>
            <c:dLbl>
              <c:idx val="15"/>
              <c:layout>
                <c:manualLayout>
                  <c:xMode val="edge"/>
                  <c:yMode val="edge"/>
                  <c:x val="0.51522307160132397"/>
                  <c:y val="0.21122180287555101"/>
                </c:manualLayout>
              </c:layout>
              <c:dLblPos val="outEnd"/>
              <c:showVal val="1"/>
            </c:dLbl>
            <c:dLbl>
              <c:idx val="16"/>
              <c:layout>
                <c:manualLayout>
                  <c:xMode val="edge"/>
                  <c:yMode val="edge"/>
                  <c:x val="0.48946191802125832"/>
                  <c:y val="0.28382929761402287"/>
                </c:manualLayout>
              </c:layout>
              <c:dLblPos val="outEnd"/>
              <c:showVal val="1"/>
            </c:dLbl>
            <c:dLbl>
              <c:idx val="17"/>
              <c:layout>
                <c:manualLayout>
                  <c:xMode val="edge"/>
                  <c:yMode val="edge"/>
                  <c:x val="0.55035191739232403"/>
                  <c:y val="0.28052895694409252"/>
                </c:manualLayout>
              </c:layout>
              <c:dLblPos val="outEnd"/>
              <c:showVal val="1"/>
            </c:dLbl>
            <c:dLbl>
              <c:idx val="18"/>
              <c:layout>
                <c:manualLayout>
                  <c:xMode val="edge"/>
                  <c:yMode val="edge"/>
                  <c:x val="0.57845499402512301"/>
                  <c:y val="0.21452214354548196"/>
                </c:manualLayout>
              </c:layout>
              <c:dLblPos val="outEnd"/>
              <c:showVal val="1"/>
            </c:dLbl>
            <c:dLbl>
              <c:idx val="19"/>
              <c:layout>
                <c:manualLayout>
                  <c:xMode val="edge"/>
                  <c:yMode val="edge"/>
                  <c:x val="0.60889999371065662"/>
                  <c:y val="0.26402725359443802"/>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DATOS!$B$2:$E$2</c:f>
              <c:strCache>
                <c:ptCount val="4"/>
                <c:pt idx="0">
                  <c:v>enero-feb y marzo</c:v>
                </c:pt>
                <c:pt idx="1">
                  <c:v>abril-mayo y junio</c:v>
                </c:pt>
                <c:pt idx="2">
                  <c:v>julio-agosto y sept</c:v>
                </c:pt>
                <c:pt idx="3">
                  <c:v>octubre-nov y dic</c:v>
                </c:pt>
              </c:strCache>
            </c:strRef>
          </c:cat>
          <c:val>
            <c:numRef>
              <c:f>DATOS!$B$5:$E$5</c:f>
              <c:numCache>
                <c:formatCode>0%</c:formatCode>
                <c:ptCount val="4"/>
                <c:pt idx="0">
                  <c:v>1</c:v>
                </c:pt>
                <c:pt idx="1">
                  <c:v>1</c:v>
                </c:pt>
                <c:pt idx="2">
                  <c:v>0.91891891891891897</c:v>
                </c:pt>
                <c:pt idx="3">
                  <c:v>1</c:v>
                </c:pt>
              </c:numCache>
            </c:numRef>
          </c:val>
        </c:ser>
        <c:axId val="167670144"/>
        <c:axId val="167671680"/>
      </c:barChart>
      <c:lineChart>
        <c:grouping val="standard"/>
        <c:ser>
          <c:idx val="1"/>
          <c:order val="1"/>
          <c:tx>
            <c:strRef>
              <c:f>DATOS!$A$6</c:f>
              <c:strCache>
                <c:ptCount val="1"/>
                <c:pt idx="0">
                  <c:v>EXCELENTE</c:v>
                </c:pt>
              </c:strCache>
            </c:strRef>
          </c:tx>
          <c:spPr>
            <a:ln w="25400">
              <a:solidFill>
                <a:srgbClr val="FCF305"/>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DATOS!$B$6:$E$6</c:f>
              <c:numCache>
                <c:formatCode>0%</c:formatCode>
                <c:ptCount val="4"/>
                <c:pt idx="0">
                  <c:v>0.9</c:v>
                </c:pt>
                <c:pt idx="1">
                  <c:v>0.9</c:v>
                </c:pt>
                <c:pt idx="2">
                  <c:v>0.9</c:v>
                </c:pt>
                <c:pt idx="3">
                  <c:v>0.9</c:v>
                </c:pt>
              </c:numCache>
            </c:numRef>
          </c:val>
        </c:ser>
        <c:ser>
          <c:idx val="2"/>
          <c:order val="2"/>
          <c:tx>
            <c:strRef>
              <c:f>DATOS!$A$7</c:f>
              <c:strCache>
                <c:ptCount val="1"/>
                <c:pt idx="0">
                  <c:v>REGULAR</c:v>
                </c:pt>
              </c:strCache>
            </c:strRef>
          </c:tx>
          <c:spPr>
            <a:ln w="25400">
              <a:solidFill>
                <a:srgbClr val="00ABEA"/>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DATOS!$B$7:$E$7</c:f>
              <c:numCache>
                <c:formatCode>0%</c:formatCode>
                <c:ptCount val="4"/>
                <c:pt idx="0">
                  <c:v>0.70000000000000062</c:v>
                </c:pt>
                <c:pt idx="1">
                  <c:v>0.70000000000000062</c:v>
                </c:pt>
                <c:pt idx="2">
                  <c:v>0.70000000000000062</c:v>
                </c:pt>
                <c:pt idx="3">
                  <c:v>0.70000000000000062</c:v>
                </c:pt>
              </c:numCache>
            </c:numRef>
          </c:val>
        </c:ser>
        <c:ser>
          <c:idx val="3"/>
          <c:order val="3"/>
          <c:tx>
            <c:strRef>
              <c:f>DATOS!$A$8</c:f>
              <c:strCache>
                <c:ptCount val="1"/>
                <c:pt idx="0">
                  <c:v>DEFICIENTE</c:v>
                </c:pt>
              </c:strCache>
            </c:strRef>
          </c:tx>
          <c:spPr>
            <a:ln w="25400">
              <a:solidFill>
                <a:srgbClr val="DD0806"/>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DATOS!$B$8:$E$8</c:f>
              <c:numCache>
                <c:formatCode>0%</c:formatCode>
                <c:ptCount val="4"/>
                <c:pt idx="0">
                  <c:v>0.60000000000000064</c:v>
                </c:pt>
                <c:pt idx="1">
                  <c:v>0.60000000000000064</c:v>
                </c:pt>
                <c:pt idx="2">
                  <c:v>0.60000000000000064</c:v>
                </c:pt>
                <c:pt idx="3">
                  <c:v>0.60000000000000064</c:v>
                </c:pt>
              </c:numCache>
            </c:numRef>
          </c:val>
        </c:ser>
        <c:marker val="1"/>
        <c:axId val="167670144"/>
        <c:axId val="167671680"/>
      </c:lineChart>
      <c:catAx>
        <c:axId val="167670144"/>
        <c:scaling>
          <c:orientation val="minMax"/>
        </c:scaling>
        <c:axPos val="b"/>
        <c:numFmt formatCode="mmm\-yy" sourceLinked="1"/>
        <c:tickLblPos val="nextTo"/>
        <c:spPr>
          <a:ln w="3175">
            <a:solidFill>
              <a:srgbClr val="000000"/>
            </a:solidFill>
            <a:prstDash val="solid"/>
          </a:ln>
        </c:spPr>
        <c:txPr>
          <a:bodyPr rot="-5400000" vert="horz"/>
          <a:lstStyle/>
          <a:p>
            <a:pPr>
              <a:defRPr sz="900" b="1" i="0" u="none" strike="noStrike" baseline="0">
                <a:solidFill>
                  <a:srgbClr val="000000"/>
                </a:solidFill>
                <a:latin typeface="Arial"/>
                <a:ea typeface="Arial"/>
                <a:cs typeface="Arial"/>
              </a:defRPr>
            </a:pPr>
            <a:endParaRPr lang="es-ES"/>
          </a:p>
        </c:txPr>
        <c:crossAx val="167671680"/>
        <c:crosses val="autoZero"/>
        <c:auto val="1"/>
        <c:lblAlgn val="ctr"/>
        <c:lblOffset val="100"/>
        <c:tickLblSkip val="1"/>
        <c:tickMarkSkip val="1"/>
      </c:catAx>
      <c:valAx>
        <c:axId val="167671680"/>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7670144"/>
        <c:crosses val="autoZero"/>
        <c:crossBetween val="between"/>
        <c:minorUnit val="0.1"/>
      </c:valAx>
      <c:spPr>
        <a:noFill/>
        <a:ln w="25400">
          <a:noFill/>
        </a:ln>
      </c:spPr>
    </c:plotArea>
    <c:legend>
      <c:legendPos val="r"/>
      <c:layout>
        <c:manualLayout>
          <c:xMode val="edge"/>
          <c:yMode val="edge"/>
          <c:x val="0.68704412031700091"/>
          <c:y val="0.23180398232661104"/>
          <c:w val="0.29431114844194389"/>
          <c:h val="0.69700259586584856"/>
        </c:manualLayout>
      </c:layout>
      <c:spPr>
        <a:solidFill>
          <a:srgbClr val="FFFFFF"/>
        </a:solidFill>
        <a:ln w="3175">
          <a:solidFill>
            <a:srgbClr val="000000"/>
          </a:solidFill>
          <a:prstDash val="solid"/>
        </a:ln>
      </c:spPr>
      <c:txPr>
        <a:bodyPr/>
        <a:lstStyle/>
        <a:p>
          <a:pPr>
            <a:defRPr sz="6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600" b="1"/>
            </a:pPr>
            <a:r>
              <a:rPr lang="es-CO" sz="1600" b="1"/>
              <a:t>SOLUCION NECESIDADES</a:t>
            </a:r>
            <a:r>
              <a:rPr lang="es-CO" sz="1600" b="1" baseline="0"/>
              <a:t> AL SISTEMA  XEO</a:t>
            </a:r>
            <a:endParaRPr lang="es-CO" sz="1600" b="1"/>
          </a:p>
        </c:rich>
      </c:tx>
      <c:layout>
        <c:manualLayout>
          <c:xMode val="edge"/>
          <c:yMode val="edge"/>
          <c:x val="0.13615662921827723"/>
          <c:y val="9.2024550990840281E-2"/>
        </c:manualLayout>
      </c:layout>
    </c:title>
    <c:plotArea>
      <c:layout>
        <c:manualLayout>
          <c:layoutTarget val="inner"/>
          <c:xMode val="edge"/>
          <c:yMode val="edge"/>
          <c:x val="0.11084930421433158"/>
          <c:y val="0.22984818074211408"/>
          <c:w val="0.59850329816078929"/>
          <c:h val="0.49346562712427233"/>
        </c:manualLayout>
      </c:layout>
      <c:barChart>
        <c:barDir val="col"/>
        <c:grouping val="clustered"/>
        <c:ser>
          <c:idx val="0"/>
          <c:order val="0"/>
          <c:tx>
            <c:strRef>
              <c:f>DATOS!$A$12</c:f>
              <c:strCache>
                <c:ptCount val="1"/>
                <c:pt idx="0">
                  <c:v>% EFICACIA SOLUCION NECESIDADES AL SISTEMA FINANCIERO XEO</c:v>
                </c:pt>
              </c:strCache>
            </c:strRef>
          </c:tx>
          <c:spPr>
            <a:solidFill>
              <a:srgbClr val="009900"/>
            </a:solidFill>
            <a:ln w="12700">
              <a:solidFill>
                <a:srgbClr val="000000"/>
              </a:solidFill>
              <a:prstDash val="solid"/>
            </a:ln>
          </c:spPr>
          <c:dLbls>
            <c:dLbl>
              <c:idx val="0"/>
              <c:layout>
                <c:manualLayout>
                  <c:x val="-2.0514839836907387E-2"/>
                  <c:y val="-3.5569514905109914E-2"/>
                </c:manualLayout>
              </c:layout>
              <c:dLblPos val="outEnd"/>
              <c:showVal val="1"/>
            </c:dLbl>
            <c:dLbl>
              <c:idx val="1"/>
              <c:layout>
                <c:manualLayout>
                  <c:x val="1.0735138551907003E-2"/>
                  <c:y val="-1.6062208847092172E-2"/>
                </c:manualLayout>
              </c:layout>
              <c:dLblPos val="outEnd"/>
              <c:showVal val="1"/>
            </c:dLbl>
            <c:dLbl>
              <c:idx val="2"/>
              <c:layout>
                <c:manualLayout>
                  <c:x val="9.0447116864912983E-3"/>
                  <c:y val="-1.8758376747917794E-2"/>
                </c:manualLayout>
              </c:layout>
              <c:dLblPos val="outEnd"/>
              <c:showVal val="1"/>
            </c:dLbl>
            <c:dLbl>
              <c:idx val="3"/>
              <c:layout>
                <c:manualLayout>
                  <c:x val="1.1992770690172298E-2"/>
                  <c:y val="-2.2026361033508798E-2"/>
                </c:manualLayout>
              </c:layout>
              <c:dLblPos val="outEnd"/>
              <c:showVal val="1"/>
            </c:dLbl>
            <c:dLbl>
              <c:idx val="4"/>
              <c:layout>
                <c:manualLayout>
                  <c:xMode val="edge"/>
                  <c:yMode val="edge"/>
                  <c:x val="0.85377456811819585"/>
                  <c:y val="0.55555732855050199"/>
                </c:manualLayout>
              </c:layout>
              <c:dLblPos val="outEnd"/>
              <c:showVal val="1"/>
            </c:dLbl>
            <c:dLbl>
              <c:idx val="5"/>
              <c:layout>
                <c:manualLayout>
                  <c:xMode val="edge"/>
                  <c:yMode val="edge"/>
                  <c:x val="0.89622744719589265"/>
                  <c:y val="1.6339921427955904E-2"/>
                </c:manualLayout>
              </c:layout>
              <c:dLblPos val="outEnd"/>
              <c:showVal val="1"/>
            </c:dLbl>
            <c:dLbl>
              <c:idx val="6"/>
              <c:layout>
                <c:manualLayout>
                  <c:xMode val="edge"/>
                  <c:yMode val="edge"/>
                  <c:x val="0.61084976006246305"/>
                  <c:y val="1.6339921427955904E-2"/>
                </c:manualLayout>
              </c:layout>
              <c:dLblPos val="outEnd"/>
              <c:showVal val="1"/>
            </c:dLbl>
            <c:dLbl>
              <c:idx val="7"/>
              <c:layout>
                <c:manualLayout>
                  <c:xMode val="edge"/>
                  <c:yMode val="edge"/>
                  <c:x val="0.66745359883272959"/>
                  <c:y val="1.6339921427955904E-2"/>
                </c:manualLayout>
              </c:layout>
              <c:dLblPos val="outEnd"/>
              <c:showVal val="1"/>
            </c:dLbl>
            <c:dLbl>
              <c:idx val="8"/>
              <c:layout>
                <c:manualLayout>
                  <c:xMode val="edge"/>
                  <c:yMode val="edge"/>
                  <c:x val="0.73584990401347405"/>
                  <c:y val="1.6339921427955904E-2"/>
                </c:manualLayout>
              </c:layout>
              <c:dLblPos val="outEnd"/>
              <c:showVal val="1"/>
            </c:dLbl>
            <c:dLbl>
              <c:idx val="9"/>
              <c:layout>
                <c:manualLayout>
                  <c:xMode val="edge"/>
                  <c:yMode val="edge"/>
                  <c:x val="0.82075566216887486"/>
                  <c:y val="1.6339921427955904E-2"/>
                </c:manualLayout>
              </c:layout>
              <c:dLblPos val="outEnd"/>
              <c:showVal val="1"/>
            </c:dLbl>
            <c:dLbl>
              <c:idx val="10"/>
              <c:layout>
                <c:manualLayout>
                  <c:xMode val="edge"/>
                  <c:yMode val="edge"/>
                  <c:x val="0.88679347406751463"/>
                  <c:y val="1.6339921427955904E-2"/>
                </c:manualLayout>
              </c:layout>
              <c:dLblPos val="outEnd"/>
              <c:showVal val="1"/>
            </c:dLbl>
            <c:dLbl>
              <c:idx val="11"/>
              <c:layout>
                <c:manualLayout>
                  <c:xMode val="edge"/>
                  <c:yMode val="edge"/>
                  <c:x val="0.96462375237663356"/>
                  <c:y val="1.6339921427955904E-2"/>
                </c:manualLayout>
              </c:layout>
              <c:dLblPos val="outEnd"/>
              <c:showVal val="1"/>
            </c:dLbl>
            <c:dLbl>
              <c:idx val="12"/>
              <c:layout>
                <c:manualLayout>
                  <c:xMode val="edge"/>
                  <c:yMode val="edge"/>
                  <c:x val="0.40801933780234134"/>
                  <c:y val="0.26143874284729501"/>
                </c:manualLayout>
              </c:layout>
              <c:dLblPos val="outEnd"/>
              <c:showVal val="1"/>
            </c:dLbl>
            <c:dLbl>
              <c:idx val="13"/>
              <c:layout>
                <c:manualLayout>
                  <c:xMode val="edge"/>
                  <c:yMode val="edge"/>
                  <c:x val="0.44339673703375732"/>
                  <c:y val="0.30719052284557202"/>
                </c:manualLayout>
              </c:layout>
              <c:dLblPos val="outEnd"/>
              <c:showVal val="1"/>
            </c:dLbl>
            <c:dLbl>
              <c:idx val="14"/>
              <c:layout>
                <c:manualLayout>
                  <c:xMode val="edge"/>
                  <c:yMode val="edge"/>
                  <c:x val="0.46462317657260732"/>
                  <c:y val="0.24836680570493044"/>
                </c:manualLayout>
              </c:layout>
              <c:dLblPos val="outEnd"/>
              <c:showVal val="1"/>
            </c:dLbl>
            <c:dLbl>
              <c:idx val="15"/>
              <c:layout>
                <c:manualLayout>
                  <c:xMode val="edge"/>
                  <c:yMode val="edge"/>
                  <c:x val="0.52358550862496656"/>
                  <c:y val="0.25817075856170379"/>
                </c:manualLayout>
              </c:layout>
              <c:dLblPos val="outEnd"/>
              <c:showVal val="1"/>
            </c:dLbl>
            <c:dLbl>
              <c:idx val="16"/>
              <c:layout>
                <c:manualLayout>
                  <c:xMode val="edge"/>
                  <c:yMode val="edge"/>
                  <c:x val="0.51886852206078005"/>
                  <c:y val="0.31045850713116452"/>
                </c:manualLayout>
              </c:layout>
              <c:dLblPos val="outEnd"/>
              <c:showVal val="1"/>
            </c:dLbl>
            <c:dLbl>
              <c:idx val="17"/>
              <c:layout>
                <c:manualLayout>
                  <c:xMode val="edge"/>
                  <c:yMode val="edge"/>
                  <c:x val="0.58254784067732956"/>
                  <c:y val="0.24509882141933961"/>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DATOS!$B$2:$E$2</c:f>
              <c:strCache>
                <c:ptCount val="4"/>
                <c:pt idx="0">
                  <c:v>enero-feb y marzo</c:v>
                </c:pt>
                <c:pt idx="1">
                  <c:v>abril-mayo y junio</c:v>
                </c:pt>
                <c:pt idx="2">
                  <c:v>julio-agosto y sept</c:v>
                </c:pt>
                <c:pt idx="3">
                  <c:v>octubre-nov y dic</c:v>
                </c:pt>
              </c:strCache>
            </c:strRef>
          </c:cat>
          <c:val>
            <c:numRef>
              <c:f>DATOS!$B$12:$E$12</c:f>
              <c:numCache>
                <c:formatCode>0%</c:formatCode>
                <c:ptCount val="4"/>
                <c:pt idx="0">
                  <c:v>1</c:v>
                </c:pt>
                <c:pt idx="1">
                  <c:v>0.9375</c:v>
                </c:pt>
                <c:pt idx="2">
                  <c:v>0.75000000000000244</c:v>
                </c:pt>
                <c:pt idx="3">
                  <c:v>0.8125</c:v>
                </c:pt>
              </c:numCache>
            </c:numRef>
          </c:val>
        </c:ser>
        <c:axId val="167695104"/>
        <c:axId val="167696640"/>
      </c:barChart>
      <c:lineChart>
        <c:grouping val="standard"/>
        <c:ser>
          <c:idx val="1"/>
          <c:order val="1"/>
          <c:tx>
            <c:strRef>
              <c:f>DATOS!$A$13</c:f>
              <c:strCache>
                <c:ptCount val="1"/>
                <c:pt idx="0">
                  <c:v>EXCELENTE</c:v>
                </c:pt>
              </c:strCache>
            </c:strRef>
          </c:tx>
          <c:spPr>
            <a:ln w="25400">
              <a:solidFill>
                <a:srgbClr val="FCF305"/>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DATOS!$B$13:$E$13</c:f>
              <c:numCache>
                <c:formatCode>0%</c:formatCode>
                <c:ptCount val="4"/>
                <c:pt idx="0">
                  <c:v>0.9</c:v>
                </c:pt>
                <c:pt idx="1">
                  <c:v>0.9</c:v>
                </c:pt>
                <c:pt idx="2">
                  <c:v>0.9</c:v>
                </c:pt>
                <c:pt idx="3">
                  <c:v>0.9</c:v>
                </c:pt>
              </c:numCache>
            </c:numRef>
          </c:val>
        </c:ser>
        <c:ser>
          <c:idx val="2"/>
          <c:order val="2"/>
          <c:tx>
            <c:strRef>
              <c:f>DATOS!$A$14</c:f>
              <c:strCache>
                <c:ptCount val="1"/>
                <c:pt idx="0">
                  <c:v>REGULAR</c:v>
                </c:pt>
              </c:strCache>
            </c:strRef>
          </c:tx>
          <c:spPr>
            <a:ln w="25400">
              <a:solidFill>
                <a:srgbClr val="00ABEA"/>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DATOS!$B$14:$E$14</c:f>
              <c:numCache>
                <c:formatCode>0%</c:formatCode>
                <c:ptCount val="4"/>
                <c:pt idx="0">
                  <c:v>0.70000000000000062</c:v>
                </c:pt>
                <c:pt idx="1">
                  <c:v>0.70000000000000062</c:v>
                </c:pt>
                <c:pt idx="2">
                  <c:v>0.70000000000000062</c:v>
                </c:pt>
                <c:pt idx="3">
                  <c:v>0.70000000000000062</c:v>
                </c:pt>
              </c:numCache>
            </c:numRef>
          </c:val>
        </c:ser>
        <c:ser>
          <c:idx val="3"/>
          <c:order val="3"/>
          <c:tx>
            <c:strRef>
              <c:f>DATOS!$A$15</c:f>
              <c:strCache>
                <c:ptCount val="1"/>
                <c:pt idx="0">
                  <c:v>DEFICIENTE</c:v>
                </c:pt>
              </c:strCache>
            </c:strRef>
          </c:tx>
          <c:spPr>
            <a:ln w="25400">
              <a:solidFill>
                <a:srgbClr val="DD0806"/>
              </a:solidFill>
              <a:prstDash val="solid"/>
            </a:ln>
          </c:spPr>
          <c:marker>
            <c:symbol val="none"/>
          </c:marker>
          <c:cat>
            <c:strRef>
              <c:f>DATOS!$B$2:$E$2</c:f>
              <c:strCache>
                <c:ptCount val="4"/>
                <c:pt idx="0">
                  <c:v>enero-feb y marzo</c:v>
                </c:pt>
                <c:pt idx="1">
                  <c:v>abril-mayo y junio</c:v>
                </c:pt>
                <c:pt idx="2">
                  <c:v>julio-agosto y sept</c:v>
                </c:pt>
                <c:pt idx="3">
                  <c:v>octubre-nov y dic</c:v>
                </c:pt>
              </c:strCache>
            </c:strRef>
          </c:cat>
          <c:val>
            <c:numRef>
              <c:f>DATOS!$B$15:$E$15</c:f>
              <c:numCache>
                <c:formatCode>0%</c:formatCode>
                <c:ptCount val="4"/>
                <c:pt idx="0">
                  <c:v>0.60000000000000064</c:v>
                </c:pt>
                <c:pt idx="1">
                  <c:v>0.60000000000000064</c:v>
                </c:pt>
                <c:pt idx="2">
                  <c:v>0.60000000000000064</c:v>
                </c:pt>
                <c:pt idx="3">
                  <c:v>0.60000000000000064</c:v>
                </c:pt>
              </c:numCache>
            </c:numRef>
          </c:val>
        </c:ser>
        <c:marker val="1"/>
        <c:axId val="167695104"/>
        <c:axId val="167696640"/>
      </c:lineChart>
      <c:catAx>
        <c:axId val="167695104"/>
        <c:scaling>
          <c:orientation val="minMax"/>
        </c:scaling>
        <c:axPos val="b"/>
        <c:numFmt formatCode="mmm\-yy" sourceLinked="1"/>
        <c:tickLblPos val="nextTo"/>
        <c:spPr>
          <a:ln w="3175">
            <a:solidFill>
              <a:srgbClr val="000000"/>
            </a:solidFill>
            <a:prstDash val="solid"/>
          </a:ln>
        </c:spPr>
        <c:txPr>
          <a:bodyPr rot="-5400000" vert="horz"/>
          <a:lstStyle/>
          <a:p>
            <a:pPr>
              <a:defRPr sz="900" b="1" i="0" u="none" strike="noStrike" baseline="0">
                <a:solidFill>
                  <a:srgbClr val="000000"/>
                </a:solidFill>
                <a:latin typeface="Arial"/>
                <a:ea typeface="Arial"/>
                <a:cs typeface="Arial"/>
              </a:defRPr>
            </a:pPr>
            <a:endParaRPr lang="es-ES"/>
          </a:p>
        </c:txPr>
        <c:crossAx val="167696640"/>
        <c:crosses val="autoZero"/>
        <c:auto val="1"/>
        <c:lblAlgn val="ctr"/>
        <c:lblOffset val="100"/>
        <c:tickLblSkip val="1"/>
        <c:tickMarkSkip val="1"/>
      </c:catAx>
      <c:valAx>
        <c:axId val="167696640"/>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7695104"/>
        <c:crosses val="autoZero"/>
        <c:crossBetween val="between"/>
        <c:minorUnit val="0.1"/>
      </c:valAx>
      <c:spPr>
        <a:noFill/>
        <a:ln w="25400">
          <a:noFill/>
        </a:ln>
      </c:spPr>
    </c:plotArea>
    <c:legend>
      <c:legendPos val="r"/>
      <c:layout>
        <c:manualLayout>
          <c:xMode val="edge"/>
          <c:yMode val="edge"/>
          <c:x val="0.72932417421883"/>
          <c:y val="0.22047198450219657"/>
          <c:w val="0.25995076163151981"/>
          <c:h val="0.70481639834022458"/>
        </c:manualLayout>
      </c:layout>
      <c:spPr>
        <a:solidFill>
          <a:srgbClr val="FFFFFF"/>
        </a:solidFill>
        <a:ln w="3175">
          <a:solidFill>
            <a:srgbClr val="000000"/>
          </a:solidFill>
          <a:prstDash val="solid"/>
        </a:ln>
      </c:spPr>
      <c:txPr>
        <a:bodyPr/>
        <a:lstStyle/>
        <a:p>
          <a:pPr>
            <a:defRPr sz="6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EVALUACION PROV</a:t>
            </a:r>
            <a:r>
              <a:rPr lang="es-CO" sz="1400" b="1" baseline="0"/>
              <a:t>EEDOR PROMEDIO</a:t>
            </a:r>
            <a:endParaRPr lang="es-CO" sz="1400" b="1"/>
          </a:p>
        </c:rich>
      </c:tx>
    </c:title>
    <c:plotArea>
      <c:layout>
        <c:manualLayout>
          <c:layoutTarget val="inner"/>
          <c:xMode val="edge"/>
          <c:yMode val="edge"/>
          <c:x val="0.115"/>
          <c:y val="4.9342105263157875E-2"/>
          <c:w val="0.65802795328529995"/>
          <c:h val="0.63157894736842368"/>
        </c:manualLayout>
      </c:layout>
      <c:barChart>
        <c:barDir val="col"/>
        <c:grouping val="clustered"/>
        <c:ser>
          <c:idx val="0"/>
          <c:order val="0"/>
          <c:tx>
            <c:strRef>
              <c:f>DATOS!$A$10</c:f>
              <c:strCache>
                <c:ptCount val="1"/>
                <c:pt idx="0">
                  <c:v>EVALUACION PROVEEDORES PROMEDIO</c:v>
                </c:pt>
              </c:strCache>
            </c:strRef>
          </c:tx>
          <c:spPr>
            <a:gradFill rotWithShape="0">
              <a:gsLst>
                <a:gs pos="0">
                  <a:srgbClr val="008000"/>
                </a:gs>
                <a:gs pos="100000">
                  <a:srgbClr val="003B00"/>
                </a:gs>
              </a:gsLst>
              <a:lin ang="5400000" scaled="1"/>
            </a:gradFill>
            <a:ln w="12700">
              <a:solidFill>
                <a:srgbClr val="000000"/>
              </a:solidFill>
              <a:prstDash val="solid"/>
            </a:ln>
          </c:spPr>
          <c:dLbls>
            <c:dLbl>
              <c:idx val="1"/>
              <c:layout>
                <c:manualLayout>
                  <c:x val="5.8583592536822424E-3"/>
                  <c:y val="-8.2214149303135899E-3"/>
                </c:manualLayout>
              </c:layout>
              <c:dLblPos val="outEnd"/>
              <c:showVal val="1"/>
            </c:dLbl>
            <c:dLbl>
              <c:idx val="2"/>
              <c:layout>
                <c:manualLayout>
                  <c:x val="3.7748061699691515E-3"/>
                  <c:y val="-1.7089787662204009E-2"/>
                </c:manualLayout>
              </c:layout>
              <c:dLblPos val="outEnd"/>
              <c:showVal val="1"/>
            </c:dLbl>
            <c:dLbl>
              <c:idx val="3"/>
              <c:layout>
                <c:manualLayout>
                  <c:x val="6.6915216569707406E-3"/>
                  <c:y val="-4.2576733372937513E-2"/>
                </c:manualLayout>
              </c:layout>
              <c:dLblPos val="outEnd"/>
              <c:showVal val="1"/>
            </c:dLbl>
            <c:dLbl>
              <c:idx val="4"/>
              <c:layout>
                <c:manualLayout>
                  <c:x val="8.6940967389790208E-2"/>
                  <c:y val="-3.7802163410410629E-2"/>
                </c:manualLayout>
              </c:layout>
              <c:dLblPos val="outEnd"/>
              <c:showVal val="1"/>
            </c:dLbl>
            <c:dLbl>
              <c:idx val="5"/>
              <c:layout>
                <c:manualLayout>
                  <c:x val="8.9919685584334427E-2"/>
                  <c:y val="4.3560177902130905E-3"/>
                </c:manualLayout>
              </c:layout>
              <c:dLblPos val="outEnd"/>
              <c:showVal val="1"/>
            </c:dLbl>
            <c:dLbl>
              <c:idx val="6"/>
              <c:layout>
                <c:manualLayout>
                  <c:x val="-0.13768413894534501"/>
                  <c:y val="-4.1696687758052332E-2"/>
                </c:manualLayout>
              </c:layout>
              <c:dLblPos val="outEnd"/>
              <c:showVal val="1"/>
            </c:dLbl>
            <c:dLbl>
              <c:idx val="7"/>
              <c:layout>
                <c:manualLayout>
                  <c:x val="6.0716999423566977E-3"/>
                  <c:y val="-1.5591573307830096E-2"/>
                </c:manualLayout>
              </c:layout>
              <c:dLblPos val="outEnd"/>
              <c:showVal val="1"/>
            </c:dLbl>
            <c:dLbl>
              <c:idx val="8"/>
              <c:layout>
                <c:manualLayout>
                  <c:x val="4.1962982742225433E-3"/>
                  <c:y val="-1.5591573307830096E-2"/>
                </c:manualLayout>
              </c:layout>
              <c:dLblPos val="outEnd"/>
              <c:showVal val="1"/>
            </c:dLbl>
            <c:dLbl>
              <c:idx val="9"/>
              <c:layout>
                <c:manualLayout>
                  <c:x val="9.6022038113640767E-3"/>
                  <c:y val="-6.0518529785176713E-3"/>
                </c:manualLayout>
              </c:layout>
              <c:dLblPos val="outEnd"/>
              <c:showVal val="1"/>
            </c:dLbl>
            <c:dLbl>
              <c:idx val="10"/>
              <c:layout>
                <c:manualLayout>
                  <c:x val="1.01539894858272E-2"/>
                  <c:y val="-1.5591478204421453E-2"/>
                </c:manualLayout>
              </c:layout>
              <c:dLblPos val="outEnd"/>
              <c:showVal val="1"/>
            </c:dLbl>
            <c:dLbl>
              <c:idx val="11"/>
              <c:dLblPos val="outEnd"/>
              <c:showVal val="1"/>
            </c:dLbl>
            <c:dLbl>
              <c:idx val="12"/>
              <c:layout>
                <c:manualLayout>
                  <c:x val="-0.267015515640325"/>
                  <c:y val="0.24218478405693444"/>
                </c:manualLayout>
              </c:layout>
              <c:dLblPos val="outEnd"/>
              <c:showVal val="1"/>
            </c:dLbl>
            <c:dLbl>
              <c:idx val="13"/>
              <c:layout>
                <c:manualLayout>
                  <c:x val="-0.25062639875916931"/>
                  <c:y val="0.24254014181112943"/>
                </c:manualLayout>
              </c:layout>
              <c:dLblPos val="outEnd"/>
              <c:showVal val="1"/>
            </c:dLbl>
            <c:dLbl>
              <c:idx val="14"/>
              <c:layout>
                <c:manualLayout>
                  <c:x val="-0.33923766487451434"/>
                  <c:y val="0.32331641617760642"/>
                </c:manualLayout>
              </c:layout>
              <c:dLblPos val="outEnd"/>
              <c:showVal val="1"/>
            </c:dLbl>
            <c:dLbl>
              <c:idx val="15"/>
              <c:layout>
                <c:manualLayout>
                  <c:x val="-0.28284875398769016"/>
                  <c:y val="-6.1736954418376934E-2"/>
                </c:manualLayout>
              </c:layout>
              <c:dLblPos val="outEnd"/>
              <c:showVal val="1"/>
            </c:dLbl>
            <c:dLbl>
              <c:idx val="16"/>
              <c:layout>
                <c:manualLayout>
                  <c:x val="-0.35895975002170799"/>
                  <c:y val="1.6236855038820368E-2"/>
                </c:manualLayout>
              </c:layout>
              <c:dLblPos val="outEnd"/>
              <c:showVal val="1"/>
            </c:dLbl>
            <c:dLbl>
              <c:idx val="17"/>
              <c:layout>
                <c:manualLayout>
                  <c:x val="-0.36847716424164262"/>
                  <c:y val="0.279605712257325"/>
                </c:manualLayout>
              </c:layout>
              <c:dLblPos val="outEnd"/>
              <c:showVal val="1"/>
            </c:dLbl>
            <c:dLbl>
              <c:idx val="18"/>
              <c:layout>
                <c:manualLayout>
                  <c:xMode val="edge"/>
                  <c:yMode val="edge"/>
                  <c:x val="0.61750075378510005"/>
                  <c:y val="0.21381613290266108"/>
                </c:manualLayout>
              </c:layout>
              <c:dLblPos val="outEnd"/>
              <c:showVal val="1"/>
            </c:dLbl>
            <c:dLbl>
              <c:idx val="19"/>
              <c:layout>
                <c:manualLayout>
                  <c:xMode val="edge"/>
                  <c:yMode val="edge"/>
                  <c:x val="0.65000079345800466"/>
                  <c:y val="0.26315831741865808"/>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DATOS!$B$9:$Y$9</c:f>
              <c:strCache>
                <c:ptCount val="4"/>
                <c:pt idx="0">
                  <c:v>Rev Oct-2012</c:v>
                </c:pt>
                <c:pt idx="1">
                  <c:v>Rev Abril-2013</c:v>
                </c:pt>
                <c:pt idx="2">
                  <c:v>Rev Oct-2013</c:v>
                </c:pt>
                <c:pt idx="3">
                  <c:v>Rev Abril-2014</c:v>
                </c:pt>
              </c:strCache>
            </c:strRef>
          </c:cat>
          <c:val>
            <c:numRef>
              <c:f>DATOS!$B$10:$Y$10</c:f>
              <c:numCache>
                <c:formatCode>0.00%</c:formatCode>
                <c:ptCount val="4"/>
                <c:pt idx="0">
                  <c:v>0.85540000000000005</c:v>
                </c:pt>
                <c:pt idx="1">
                  <c:v>0.87670000000000303</c:v>
                </c:pt>
                <c:pt idx="2">
                  <c:v>0.86790000000000256</c:v>
                </c:pt>
                <c:pt idx="3">
                  <c:v>0.8821</c:v>
                </c:pt>
              </c:numCache>
            </c:numRef>
          </c:val>
        </c:ser>
        <c:gapWidth val="60"/>
        <c:axId val="165865344"/>
        <c:axId val="165866880"/>
      </c:barChart>
      <c:lineChart>
        <c:grouping val="standard"/>
        <c:ser>
          <c:idx val="1"/>
          <c:order val="1"/>
          <c:tx>
            <c:strRef>
              <c:f>DATOS!$A$11</c:f>
              <c:strCache>
                <c:ptCount val="1"/>
                <c:pt idx="0">
                  <c:v>EXCELENTE</c:v>
                </c:pt>
              </c:strCache>
            </c:strRef>
          </c:tx>
          <c:spPr>
            <a:ln w="25400">
              <a:solidFill>
                <a:srgbClr val="339966"/>
              </a:solidFill>
              <a:prstDash val="solid"/>
            </a:ln>
          </c:spPr>
          <c:marker>
            <c:symbol val="none"/>
          </c:marker>
          <c:cat>
            <c:strRef>
              <c:f>DATOS!$B$9:$Y$9</c:f>
              <c:strCache>
                <c:ptCount val="4"/>
                <c:pt idx="0">
                  <c:v>Rev Oct-2012</c:v>
                </c:pt>
                <c:pt idx="1">
                  <c:v>Rev Abril-2013</c:v>
                </c:pt>
                <c:pt idx="2">
                  <c:v>Rev Oct-2013</c:v>
                </c:pt>
                <c:pt idx="3">
                  <c:v>Rev Abril-2014</c:v>
                </c:pt>
              </c:strCache>
            </c:strRef>
          </c:cat>
          <c:val>
            <c:numRef>
              <c:f>DATOS!$B$11:$Y$11</c:f>
              <c:numCache>
                <c:formatCode>0%</c:formatCode>
                <c:ptCount val="4"/>
                <c:pt idx="0">
                  <c:v>1</c:v>
                </c:pt>
                <c:pt idx="1">
                  <c:v>1</c:v>
                </c:pt>
                <c:pt idx="2">
                  <c:v>1</c:v>
                </c:pt>
                <c:pt idx="3">
                  <c:v>1</c:v>
                </c:pt>
              </c:numCache>
            </c:numRef>
          </c:val>
        </c:ser>
        <c:ser>
          <c:idx val="2"/>
          <c:order val="2"/>
          <c:tx>
            <c:strRef>
              <c:f>DATOS!$A$12</c:f>
              <c:strCache>
                <c:ptCount val="1"/>
                <c:pt idx="0">
                  <c:v>REGUILAR</c:v>
                </c:pt>
              </c:strCache>
            </c:strRef>
          </c:tx>
          <c:spPr>
            <a:ln w="25400">
              <a:solidFill>
                <a:srgbClr val="3366FF"/>
              </a:solidFill>
              <a:prstDash val="solid"/>
            </a:ln>
          </c:spPr>
          <c:marker>
            <c:symbol val="none"/>
          </c:marker>
          <c:cat>
            <c:strRef>
              <c:f>DATOS!$B$9:$Y$9</c:f>
              <c:strCache>
                <c:ptCount val="4"/>
                <c:pt idx="0">
                  <c:v>Rev Oct-2012</c:v>
                </c:pt>
                <c:pt idx="1">
                  <c:v>Rev Abril-2013</c:v>
                </c:pt>
                <c:pt idx="2">
                  <c:v>Rev Oct-2013</c:v>
                </c:pt>
                <c:pt idx="3">
                  <c:v>Rev Abril-2014</c:v>
                </c:pt>
              </c:strCache>
            </c:strRef>
          </c:cat>
          <c:val>
            <c:numRef>
              <c:f>DATOS!$B$12:$Y$12</c:f>
              <c:numCache>
                <c:formatCode>0%</c:formatCode>
                <c:ptCount val="4"/>
                <c:pt idx="0">
                  <c:v>0.70000000000000062</c:v>
                </c:pt>
                <c:pt idx="1">
                  <c:v>0.70000000000000062</c:v>
                </c:pt>
                <c:pt idx="2">
                  <c:v>0.70000000000000062</c:v>
                </c:pt>
                <c:pt idx="3">
                  <c:v>0.70000000000000062</c:v>
                </c:pt>
              </c:numCache>
            </c:numRef>
          </c:val>
        </c:ser>
        <c:ser>
          <c:idx val="3"/>
          <c:order val="3"/>
          <c:tx>
            <c:strRef>
              <c:f>DATOS!$A$13</c:f>
              <c:strCache>
                <c:ptCount val="1"/>
                <c:pt idx="0">
                  <c:v>DEFICIENTE</c:v>
                </c:pt>
              </c:strCache>
            </c:strRef>
          </c:tx>
          <c:spPr>
            <a:ln w="25400">
              <a:solidFill>
                <a:srgbClr val="DD0806"/>
              </a:solidFill>
              <a:prstDash val="solid"/>
            </a:ln>
          </c:spPr>
          <c:marker>
            <c:symbol val="none"/>
          </c:marker>
          <c:cat>
            <c:strRef>
              <c:f>DATOS!$B$9:$Y$9</c:f>
              <c:strCache>
                <c:ptCount val="4"/>
                <c:pt idx="0">
                  <c:v>Rev Oct-2012</c:v>
                </c:pt>
                <c:pt idx="1">
                  <c:v>Rev Abril-2013</c:v>
                </c:pt>
                <c:pt idx="2">
                  <c:v>Rev Oct-2013</c:v>
                </c:pt>
                <c:pt idx="3">
                  <c:v>Rev Abril-2014</c:v>
                </c:pt>
              </c:strCache>
            </c:strRef>
          </c:cat>
          <c:val>
            <c:numRef>
              <c:f>DATOS!$B$13:$Y$13</c:f>
              <c:numCache>
                <c:formatCode>0%</c:formatCode>
                <c:ptCount val="4"/>
                <c:pt idx="0">
                  <c:v>0.60000000000000064</c:v>
                </c:pt>
                <c:pt idx="1">
                  <c:v>0.60000000000000064</c:v>
                </c:pt>
                <c:pt idx="2">
                  <c:v>0.60000000000000064</c:v>
                </c:pt>
                <c:pt idx="3">
                  <c:v>0.60000000000000064</c:v>
                </c:pt>
              </c:numCache>
            </c:numRef>
          </c:val>
        </c:ser>
        <c:marker val="1"/>
        <c:axId val="165865344"/>
        <c:axId val="165866880"/>
      </c:lineChart>
      <c:catAx>
        <c:axId val="165865344"/>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5866880"/>
        <c:crosses val="autoZero"/>
        <c:auto val="1"/>
        <c:lblAlgn val="ctr"/>
        <c:lblOffset val="100"/>
        <c:tickLblSkip val="1"/>
        <c:tickMarkSkip val="1"/>
      </c:catAx>
      <c:valAx>
        <c:axId val="165866880"/>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5865344"/>
        <c:crosses val="autoZero"/>
        <c:crossBetween val="between"/>
        <c:minorUnit val="0.1"/>
      </c:valAx>
      <c:spPr>
        <a:noFill/>
        <a:ln w="25400">
          <a:noFill/>
        </a:ln>
      </c:spPr>
    </c:plotArea>
    <c:legend>
      <c:legendPos val="r"/>
      <c:layout>
        <c:manualLayout>
          <c:xMode val="edge"/>
          <c:yMode val="edge"/>
          <c:x val="0.7702374528100111"/>
          <c:y val="0.14752934830439948"/>
          <c:w val="0.20830384374187791"/>
          <c:h val="0.79471419321235459"/>
        </c:manualLayout>
      </c:layout>
      <c:spPr>
        <a:solidFill>
          <a:srgbClr val="FFFFFF"/>
        </a:solidFill>
        <a:ln w="25400">
          <a:noFill/>
        </a:ln>
      </c:spPr>
      <c:txPr>
        <a:bodyPr/>
        <a:lstStyle/>
        <a:p>
          <a:pPr>
            <a:defRPr sz="67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CO"/>
            </a:pPr>
            <a:r>
              <a:rPr lang="en-US"/>
              <a:t>GENERALIDADES DEL SERVICIO</a:t>
            </a:r>
          </a:p>
        </c:rich>
      </c:tx>
    </c:title>
    <c:view3D>
      <c:rAngAx val="1"/>
    </c:view3D>
    <c:plotArea>
      <c:layout/>
      <c:bar3DChart>
        <c:barDir val="col"/>
        <c:grouping val="clustered"/>
        <c:ser>
          <c:idx val="0"/>
          <c:order val="0"/>
          <c:tx>
            <c:strRef>
              <c:f>Hoja1!$B$26</c:f>
              <c:strCache>
                <c:ptCount val="1"/>
                <c:pt idx="0">
                  <c:v>SOLICITARIA NUEVAMENTE NUESTROS SERVICIOS</c:v>
                </c:pt>
              </c:strCache>
            </c:strRef>
          </c:tx>
          <c:dLbls>
            <c:txPr>
              <a:bodyPr/>
              <a:lstStyle/>
              <a:p>
                <a:pPr>
                  <a:defRPr lang="es-CO"/>
                </a:pPr>
                <a:endParaRPr lang="es-ES"/>
              </a:p>
            </c:txPr>
            <c:showVal val="1"/>
          </c:dLbls>
          <c:cat>
            <c:strRef>
              <c:f>Hoja1!$D$25:$F$25</c:f>
              <c:strCache>
                <c:ptCount val="3"/>
                <c:pt idx="0">
                  <c:v>SI</c:v>
                </c:pt>
                <c:pt idx="1">
                  <c:v>NO</c:v>
                </c:pt>
                <c:pt idx="2">
                  <c:v>NO RESPONDE</c:v>
                </c:pt>
              </c:strCache>
            </c:strRef>
          </c:cat>
          <c:val>
            <c:numRef>
              <c:f>Hoja1!$D$26:$F$26</c:f>
              <c:numCache>
                <c:formatCode>General</c:formatCode>
                <c:ptCount val="3"/>
                <c:pt idx="0">
                  <c:v>10</c:v>
                </c:pt>
                <c:pt idx="1">
                  <c:v>0</c:v>
                </c:pt>
                <c:pt idx="2">
                  <c:v>0</c:v>
                </c:pt>
              </c:numCache>
            </c:numRef>
          </c:val>
        </c:ser>
        <c:ser>
          <c:idx val="1"/>
          <c:order val="1"/>
          <c:tx>
            <c:strRef>
              <c:f>Hoja1!$B$27</c:f>
              <c:strCache>
                <c:ptCount val="1"/>
                <c:pt idx="0">
                  <c:v>RECOMENDARIA A IDESAN POR SU SERVICIO</c:v>
                </c:pt>
              </c:strCache>
            </c:strRef>
          </c:tx>
          <c:dLbls>
            <c:txPr>
              <a:bodyPr/>
              <a:lstStyle/>
              <a:p>
                <a:pPr>
                  <a:defRPr lang="es-CO"/>
                </a:pPr>
                <a:endParaRPr lang="es-ES"/>
              </a:p>
            </c:txPr>
            <c:showVal val="1"/>
          </c:dLbls>
          <c:cat>
            <c:strRef>
              <c:f>Hoja1!$D$25:$F$25</c:f>
              <c:strCache>
                <c:ptCount val="3"/>
                <c:pt idx="0">
                  <c:v>SI</c:v>
                </c:pt>
                <c:pt idx="1">
                  <c:v>NO</c:v>
                </c:pt>
                <c:pt idx="2">
                  <c:v>NO RESPONDE</c:v>
                </c:pt>
              </c:strCache>
            </c:strRef>
          </c:cat>
          <c:val>
            <c:numRef>
              <c:f>Hoja1!$D$27:$F$27</c:f>
              <c:numCache>
                <c:formatCode>General</c:formatCode>
                <c:ptCount val="3"/>
                <c:pt idx="0">
                  <c:v>10</c:v>
                </c:pt>
                <c:pt idx="1">
                  <c:v>0</c:v>
                </c:pt>
                <c:pt idx="2">
                  <c:v>0</c:v>
                </c:pt>
              </c:numCache>
            </c:numRef>
          </c:val>
        </c:ser>
        <c:shape val="box"/>
        <c:axId val="164492800"/>
        <c:axId val="164494336"/>
        <c:axId val="0"/>
      </c:bar3DChart>
      <c:catAx>
        <c:axId val="164492800"/>
        <c:scaling>
          <c:orientation val="minMax"/>
        </c:scaling>
        <c:axPos val="b"/>
        <c:majorTickMark val="none"/>
        <c:tickLblPos val="nextTo"/>
        <c:txPr>
          <a:bodyPr/>
          <a:lstStyle/>
          <a:p>
            <a:pPr>
              <a:defRPr lang="es-CO"/>
            </a:pPr>
            <a:endParaRPr lang="es-ES"/>
          </a:p>
        </c:txPr>
        <c:crossAx val="164494336"/>
        <c:crosses val="autoZero"/>
        <c:auto val="1"/>
        <c:lblAlgn val="ctr"/>
        <c:lblOffset val="100"/>
      </c:catAx>
      <c:valAx>
        <c:axId val="164494336"/>
        <c:scaling>
          <c:orientation val="minMax"/>
        </c:scaling>
        <c:axPos val="l"/>
        <c:majorGridlines/>
        <c:numFmt formatCode="General" sourceLinked="1"/>
        <c:majorTickMark val="none"/>
        <c:tickLblPos val="nextTo"/>
        <c:txPr>
          <a:bodyPr/>
          <a:lstStyle/>
          <a:p>
            <a:pPr>
              <a:defRPr lang="es-CO"/>
            </a:pPr>
            <a:endParaRPr lang="es-ES"/>
          </a:p>
        </c:txPr>
        <c:crossAx val="164492800"/>
        <c:crosses val="autoZero"/>
        <c:crossBetween val="between"/>
      </c:valAx>
    </c:plotArea>
    <c:legend>
      <c:legendPos val="r"/>
      <c:txPr>
        <a:bodyPr/>
        <a:lstStyle/>
        <a:p>
          <a:pPr>
            <a:defRPr lang="es-CO"/>
          </a:pPr>
          <a:endParaRPr lang="es-ES"/>
        </a:p>
      </c:txPr>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600" b="1"/>
            </a:pPr>
            <a:r>
              <a:rPr lang="es-CO" sz="1600" b="1"/>
              <a:t>DEVOLUCION QUEJAS</a:t>
            </a:r>
            <a:r>
              <a:rPr lang="es-CO" sz="1600" b="1" baseline="0"/>
              <a:t> A PROVEEDORES</a:t>
            </a:r>
            <a:endParaRPr lang="es-CO" sz="1600" b="1"/>
          </a:p>
        </c:rich>
      </c:tx>
      <c:layout>
        <c:manualLayout>
          <c:xMode val="edge"/>
          <c:yMode val="edge"/>
          <c:x val="0.20559043619592995"/>
          <c:y val="4.6082949308755762E-2"/>
        </c:manualLayout>
      </c:layout>
    </c:title>
    <c:plotArea>
      <c:layout>
        <c:manualLayout>
          <c:layoutTarget val="inner"/>
          <c:xMode val="edge"/>
          <c:yMode val="edge"/>
          <c:x val="6.3380528138208103E-2"/>
          <c:y val="0.27832852576596462"/>
          <c:w val="0.58971733003087812"/>
          <c:h val="0.44884633111054634"/>
        </c:manualLayout>
      </c:layout>
      <c:lineChart>
        <c:grouping val="standard"/>
        <c:ser>
          <c:idx val="0"/>
          <c:order val="0"/>
          <c:tx>
            <c:strRef>
              <c:f>DATOS!$A$3</c:f>
              <c:strCache>
                <c:ptCount val="1"/>
                <c:pt idx="0">
                  <c:v>DEVOLUCION QUEJAS A PROVEEDORES</c:v>
                </c:pt>
              </c:strCache>
            </c:strRef>
          </c:tx>
          <c:spPr>
            <a:ln w="38100">
              <a:solidFill>
                <a:srgbClr val="000090"/>
              </a:solidFill>
              <a:prstDash val="solid"/>
            </a:ln>
          </c:spPr>
          <c:marker>
            <c:symbol val="diamond"/>
            <c:size val="3"/>
            <c:spPr>
              <a:solidFill>
                <a:srgbClr val="000080"/>
              </a:solidFill>
              <a:ln>
                <a:solidFill>
                  <a:srgbClr val="000080"/>
                </a:solidFill>
                <a:prstDash val="solid"/>
              </a:ln>
            </c:spPr>
          </c:marker>
          <c:dLbls>
            <c:dLbl>
              <c:idx val="0"/>
              <c:layout>
                <c:manualLayout>
                  <c:x val="-1.9798797369072463E-2"/>
                  <c:y val="-7.8833306132276112E-2"/>
                </c:manualLayout>
              </c:layout>
              <c:dLblPos val="r"/>
              <c:showVal val="1"/>
            </c:dLbl>
            <c:dLbl>
              <c:idx val="1"/>
              <c:layout>
                <c:manualLayout>
                  <c:x val="-2.8560403725319605E-2"/>
                  <c:y val="-0.12828386045861787"/>
                </c:manualLayout>
              </c:layout>
              <c:dLblPos val="r"/>
              <c:showVal val="1"/>
            </c:dLbl>
            <c:dLbl>
              <c:idx val="2"/>
              <c:layout>
                <c:manualLayout>
                  <c:x val="-3.8993326335369914E-2"/>
                  <c:y val="-0.12168317911875702"/>
                </c:manualLayout>
              </c:layout>
              <c:dLblPos val="r"/>
              <c:showVal val="1"/>
            </c:dLbl>
            <c:dLbl>
              <c:idx val="3"/>
              <c:layout>
                <c:manualLayout>
                  <c:x val="-4.7079072171878296E-2"/>
                  <c:y val="-0.134884541798479"/>
                </c:manualLayout>
              </c:layout>
              <c:dLblPos val="r"/>
              <c:showVal val="1"/>
            </c:dLbl>
            <c:dLbl>
              <c:idx val="4"/>
              <c:layout>
                <c:manualLayout>
                  <c:x val="-4.3427455452273896E-2"/>
                  <c:y val="-9.198011308938249E-2"/>
                </c:manualLayout>
              </c:layout>
              <c:dLblPos val="r"/>
              <c:showVal val="1"/>
            </c:dLbl>
            <c:dLbl>
              <c:idx val="5"/>
              <c:layout>
                <c:manualLayout>
                  <c:x val="-3.5080992289451267E-2"/>
                  <c:y val="-0.115082497778896"/>
                </c:manualLayout>
              </c:layout>
              <c:dLblPos val="r"/>
              <c:showVal val="1"/>
            </c:dLbl>
            <c:dLbl>
              <c:idx val="6"/>
              <c:layout>
                <c:manualLayout>
                  <c:x val="-3.8471891682741212E-2"/>
                  <c:y val="-0.115082497778896"/>
                </c:manualLayout>
              </c:layout>
              <c:dLblPos val="r"/>
              <c:showVal val="1"/>
            </c:dLbl>
            <c:dLbl>
              <c:idx val="7"/>
              <c:layout>
                <c:manualLayout>
                  <c:x val="-3.9515121406355019E-2"/>
                  <c:y val="-0.115082497778896"/>
                </c:manualLayout>
              </c:layout>
              <c:dLblPos val="r"/>
              <c:showVal val="1"/>
            </c:dLbl>
            <c:dLbl>
              <c:idx val="8"/>
              <c:layout>
                <c:manualLayout>
                  <c:x val="-3.5863504686750605E-2"/>
                  <c:y val="-0.12168317911875702"/>
                </c:manualLayout>
              </c:layout>
              <c:dLblPos val="r"/>
              <c:showVal val="1"/>
            </c:dLbl>
            <c:dLbl>
              <c:idx val="9"/>
              <c:layout>
                <c:manualLayout>
                  <c:x val="-4.7315478265803804E-2"/>
                  <c:y val="-7.8778750409660619E-2"/>
                </c:manualLayout>
              </c:layout>
              <c:dLblPos val="r"/>
              <c:showVal val="1"/>
            </c:dLbl>
            <c:dLbl>
              <c:idx val="10"/>
              <c:layout>
                <c:manualLayout>
                  <c:x val="-5.3037144655568712E-2"/>
                  <c:y val="-6.5577387729938721E-2"/>
                </c:manualLayout>
              </c:layout>
              <c:dLblPos val="r"/>
              <c:showVal val="1"/>
            </c:dLbl>
            <c:dLbl>
              <c:idx val="11"/>
              <c:layout>
                <c:manualLayout>
                  <c:x val="-5.4064211050182984E-2"/>
                  <c:y val="-5.5676365720147315E-2"/>
                </c:manualLayout>
              </c:layout>
              <c:dLblPos val="r"/>
              <c:showVal val="1"/>
            </c:dLbl>
            <c:dLbl>
              <c:idx val="12"/>
              <c:layout>
                <c:manualLayout>
                  <c:x val="-2.2227352342268608E-2"/>
                  <c:y val="-5.5676365720147315E-2"/>
                </c:manualLayout>
              </c:layout>
              <c:dLblPos val="r"/>
              <c:showVal val="1"/>
            </c:dLbl>
            <c:dLbl>
              <c:idx val="13"/>
              <c:layout>
                <c:manualLayout>
                  <c:x val="-2.5601841958491807E-2"/>
                  <c:y val="-5.5676365720147315E-2"/>
                </c:manualLayout>
              </c:layout>
              <c:dLblPos val="r"/>
              <c:showVal val="1"/>
            </c:dLbl>
            <c:dLbl>
              <c:idx val="14"/>
              <c:layout>
                <c:manualLayout>
                  <c:x val="-0.12522043721262224"/>
                  <c:y val="0.66996915599589069"/>
                </c:manualLayout>
              </c:layout>
              <c:dLblPos val="r"/>
              <c:showVal val="1"/>
            </c:dLbl>
            <c:dLbl>
              <c:idx val="15"/>
              <c:layout>
                <c:manualLayout>
                  <c:x val="-0.11685781072079837"/>
                  <c:y val="0.68977120001547521"/>
                </c:manualLayout>
              </c:layout>
              <c:dLblPos val="r"/>
              <c:showVal val="1"/>
            </c:dLbl>
            <c:dLbl>
              <c:idx val="16"/>
              <c:layout>
                <c:manualLayout>
                  <c:x val="6.672541611581051E-2"/>
                  <c:y val="-0.10188113509917388"/>
                </c:manualLayout>
              </c:layout>
              <c:dLblPos val="r"/>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DATOS!$B$2:$Z$2</c:f>
              <c:strCache>
                <c:ptCount val="5"/>
                <c:pt idx="0">
                  <c:v>Enero-Mar//2013</c:v>
                </c:pt>
                <c:pt idx="1">
                  <c:v>Abril-Junio//2013</c:v>
                </c:pt>
                <c:pt idx="2">
                  <c:v>Julio - Sep/13</c:v>
                </c:pt>
                <c:pt idx="3">
                  <c:v>Oct- Dic</c:v>
                </c:pt>
                <c:pt idx="4">
                  <c:v>Enero -Mar/14</c:v>
                </c:pt>
              </c:strCache>
            </c:strRef>
          </c:cat>
          <c:val>
            <c:numRef>
              <c:f>DATOS!$B$3:$Z$3</c:f>
              <c:numCache>
                <c:formatCode>0</c:formatCode>
                <c:ptCount val="5"/>
                <c:pt idx="0">
                  <c:v>0</c:v>
                </c:pt>
                <c:pt idx="1">
                  <c:v>0</c:v>
                </c:pt>
                <c:pt idx="2">
                  <c:v>0</c:v>
                </c:pt>
                <c:pt idx="3">
                  <c:v>0</c:v>
                </c:pt>
                <c:pt idx="4">
                  <c:v>0</c:v>
                </c:pt>
              </c:numCache>
            </c:numRef>
          </c:val>
          <c:smooth val="1"/>
        </c:ser>
        <c:ser>
          <c:idx val="1"/>
          <c:order val="1"/>
          <c:tx>
            <c:strRef>
              <c:f>DATOS!$A$4</c:f>
              <c:strCache>
                <c:ptCount val="1"/>
                <c:pt idx="0">
                  <c:v>EXCELENTE</c:v>
                </c:pt>
              </c:strCache>
            </c:strRef>
          </c:tx>
          <c:spPr>
            <a:ln w="25400">
              <a:solidFill>
                <a:srgbClr val="006411"/>
              </a:solidFill>
              <a:prstDash val="solid"/>
            </a:ln>
          </c:spPr>
          <c:marker>
            <c:symbol val="none"/>
          </c:marker>
          <c:cat>
            <c:strRef>
              <c:f>DATOS!$B$2:$Z$2</c:f>
              <c:strCache>
                <c:ptCount val="5"/>
                <c:pt idx="0">
                  <c:v>Enero-Mar//2013</c:v>
                </c:pt>
                <c:pt idx="1">
                  <c:v>Abril-Junio//2013</c:v>
                </c:pt>
                <c:pt idx="2">
                  <c:v>Julio - Sep/13</c:v>
                </c:pt>
                <c:pt idx="3">
                  <c:v>Oct- Dic</c:v>
                </c:pt>
                <c:pt idx="4">
                  <c:v>Enero -Mar/14</c:v>
                </c:pt>
              </c:strCache>
            </c:strRef>
          </c:cat>
          <c:val>
            <c:numRef>
              <c:f>DATOS!$B$4:$Z$4</c:f>
              <c:numCache>
                <c:formatCode>0</c:formatCode>
                <c:ptCount val="5"/>
                <c:pt idx="0">
                  <c:v>0</c:v>
                </c:pt>
                <c:pt idx="1">
                  <c:v>0</c:v>
                </c:pt>
                <c:pt idx="2">
                  <c:v>0</c:v>
                </c:pt>
                <c:pt idx="3">
                  <c:v>0</c:v>
                </c:pt>
                <c:pt idx="4">
                  <c:v>0</c:v>
                </c:pt>
              </c:numCache>
            </c:numRef>
          </c:val>
        </c:ser>
        <c:ser>
          <c:idx val="2"/>
          <c:order val="2"/>
          <c:tx>
            <c:strRef>
              <c:f>DATOS!$A$5</c:f>
              <c:strCache>
                <c:ptCount val="1"/>
                <c:pt idx="0">
                  <c:v>REGULAR</c:v>
                </c:pt>
              </c:strCache>
            </c:strRef>
          </c:tx>
          <c:spPr>
            <a:ln w="25400">
              <a:solidFill>
                <a:srgbClr val="000090"/>
              </a:solidFill>
              <a:prstDash val="solid"/>
            </a:ln>
          </c:spPr>
          <c:marker>
            <c:symbol val="none"/>
          </c:marker>
          <c:cat>
            <c:strRef>
              <c:f>DATOS!$B$2:$Z$2</c:f>
              <c:strCache>
                <c:ptCount val="5"/>
                <c:pt idx="0">
                  <c:v>Enero-Mar//2013</c:v>
                </c:pt>
                <c:pt idx="1">
                  <c:v>Abril-Junio//2013</c:v>
                </c:pt>
                <c:pt idx="2">
                  <c:v>Julio - Sep/13</c:v>
                </c:pt>
                <c:pt idx="3">
                  <c:v>Oct- Dic</c:v>
                </c:pt>
                <c:pt idx="4">
                  <c:v>Enero -Mar/14</c:v>
                </c:pt>
              </c:strCache>
            </c:strRef>
          </c:cat>
          <c:val>
            <c:numRef>
              <c:f>DATOS!$B$5:$Z$5</c:f>
              <c:numCache>
                <c:formatCode>0</c:formatCode>
                <c:ptCount val="5"/>
                <c:pt idx="0">
                  <c:v>3</c:v>
                </c:pt>
                <c:pt idx="1">
                  <c:v>3</c:v>
                </c:pt>
                <c:pt idx="2">
                  <c:v>3</c:v>
                </c:pt>
                <c:pt idx="3">
                  <c:v>3</c:v>
                </c:pt>
                <c:pt idx="4">
                  <c:v>3</c:v>
                </c:pt>
              </c:numCache>
            </c:numRef>
          </c:val>
        </c:ser>
        <c:ser>
          <c:idx val="3"/>
          <c:order val="3"/>
          <c:tx>
            <c:strRef>
              <c:f>DATOS!$A$6</c:f>
              <c:strCache>
                <c:ptCount val="1"/>
                <c:pt idx="0">
                  <c:v>DEFICIENTE</c:v>
                </c:pt>
              </c:strCache>
            </c:strRef>
          </c:tx>
          <c:spPr>
            <a:ln w="25400">
              <a:solidFill>
                <a:srgbClr val="DD0806"/>
              </a:solidFill>
              <a:prstDash val="solid"/>
            </a:ln>
          </c:spPr>
          <c:marker>
            <c:symbol val="none"/>
          </c:marker>
          <c:cat>
            <c:strRef>
              <c:f>DATOS!$B$2:$Z$2</c:f>
              <c:strCache>
                <c:ptCount val="5"/>
                <c:pt idx="0">
                  <c:v>Enero-Mar//2013</c:v>
                </c:pt>
                <c:pt idx="1">
                  <c:v>Abril-Junio//2013</c:v>
                </c:pt>
                <c:pt idx="2">
                  <c:v>Julio - Sep/13</c:v>
                </c:pt>
                <c:pt idx="3">
                  <c:v>Oct- Dic</c:v>
                </c:pt>
                <c:pt idx="4">
                  <c:v>Enero -Mar/14</c:v>
                </c:pt>
              </c:strCache>
            </c:strRef>
          </c:cat>
          <c:val>
            <c:numRef>
              <c:f>DATOS!$B$6:$Z$6</c:f>
              <c:numCache>
                <c:formatCode>0</c:formatCode>
                <c:ptCount val="5"/>
                <c:pt idx="0">
                  <c:v>5</c:v>
                </c:pt>
                <c:pt idx="1">
                  <c:v>5</c:v>
                </c:pt>
                <c:pt idx="2">
                  <c:v>5</c:v>
                </c:pt>
                <c:pt idx="3">
                  <c:v>5</c:v>
                </c:pt>
                <c:pt idx="4">
                  <c:v>5</c:v>
                </c:pt>
              </c:numCache>
            </c:numRef>
          </c:val>
        </c:ser>
        <c:marker val="1"/>
        <c:axId val="167786368"/>
        <c:axId val="167787904"/>
      </c:lineChart>
      <c:catAx>
        <c:axId val="167786368"/>
        <c:scaling>
          <c:orientation val="minMax"/>
        </c:scaling>
        <c:axPos val="b"/>
        <c:numFmt formatCode="General" sourceLinked="1"/>
        <c:tickLblPos val="nextTo"/>
        <c:spPr>
          <a:ln w="25400">
            <a:solidFill>
              <a:srgbClr val="000000"/>
            </a:solidFill>
            <a:prstDash val="solid"/>
          </a:ln>
        </c:spPr>
        <c:txPr>
          <a:bodyPr rot="-5400000" vert="horz"/>
          <a:lstStyle/>
          <a:p>
            <a:pPr>
              <a:defRPr sz="700" b="1" i="0" u="none" strike="noStrike" baseline="0">
                <a:solidFill>
                  <a:srgbClr val="000000"/>
                </a:solidFill>
                <a:latin typeface="Arial"/>
                <a:ea typeface="Arial"/>
                <a:cs typeface="Arial"/>
              </a:defRPr>
            </a:pPr>
            <a:endParaRPr lang="es-ES"/>
          </a:p>
        </c:txPr>
        <c:crossAx val="167787904"/>
        <c:crossesAt val="0"/>
        <c:auto val="1"/>
        <c:lblAlgn val="ctr"/>
        <c:lblOffset val="100"/>
        <c:tickLblSkip val="1"/>
        <c:tickMarkSkip val="1"/>
      </c:catAx>
      <c:valAx>
        <c:axId val="167787904"/>
        <c:scaling>
          <c:orientation val="minMax"/>
          <c:max val="5"/>
          <c:min val="0"/>
        </c:scaling>
        <c:axPos val="l"/>
        <c:numFmt formatCode="General" sourceLinked="0"/>
        <c:tickLblPos val="nextTo"/>
        <c:spPr>
          <a:ln w="254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167786368"/>
        <c:crosses val="autoZero"/>
        <c:crossBetween val="between"/>
        <c:majorUnit val="1"/>
        <c:minorUnit val="1"/>
      </c:valAx>
      <c:spPr>
        <a:noFill/>
        <a:ln w="25400">
          <a:noFill/>
        </a:ln>
      </c:spPr>
    </c:plotArea>
    <c:legend>
      <c:legendPos val="r"/>
      <c:layout>
        <c:manualLayout>
          <c:xMode val="edge"/>
          <c:yMode val="edge"/>
          <c:x val="0.69736809538097722"/>
          <c:y val="0.19321492071555568"/>
          <c:w val="0.27841213791282787"/>
          <c:h val="0.60604303494321365"/>
        </c:manualLayout>
      </c:layout>
      <c:spPr>
        <a:solidFill>
          <a:srgbClr val="FFFFFF"/>
        </a:solidFill>
        <a:ln w="25400">
          <a:noFill/>
        </a:ln>
      </c:spPr>
      <c:txPr>
        <a:bodyPr/>
        <a:lstStyle/>
        <a:p>
          <a:pPr>
            <a:defRPr sz="67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es-ES"/>
  <c:roundedCorners val="1"/>
  <c:chart>
    <c:plotArea>
      <c:layout>
        <c:manualLayout>
          <c:layoutTarget val="inner"/>
          <c:xMode val="edge"/>
          <c:yMode val="edge"/>
          <c:x val="0.115"/>
          <c:y val="4.9342105263157875E-2"/>
          <c:w val="0.62335371589840072"/>
          <c:h val="0.63157894736842302"/>
        </c:manualLayout>
      </c:layout>
      <c:barChart>
        <c:barDir val="col"/>
        <c:grouping val="clustered"/>
        <c:ser>
          <c:idx val="0"/>
          <c:order val="0"/>
          <c:tx>
            <c:strRef>
              <c:f>DATOS!$A$19</c:f>
              <c:strCache>
                <c:ptCount val="1"/>
                <c:pt idx="0">
                  <c:v>% EJECUCION PLAN DE COMPRAS</c:v>
                </c:pt>
              </c:strCache>
            </c:strRef>
          </c:tx>
          <c:spPr>
            <a:gradFill rotWithShape="0">
              <a:gsLst>
                <a:gs pos="0">
                  <a:srgbClr val="008000"/>
                </a:gs>
                <a:gs pos="100000">
                  <a:srgbClr val="008000">
                    <a:gamma/>
                    <a:shade val="46275"/>
                    <a:invGamma/>
                  </a:srgbClr>
                </a:gs>
              </a:gsLst>
              <a:lin ang="5400000" scaled="1"/>
            </a:gradFill>
            <a:ln w="12700">
              <a:solidFill>
                <a:srgbClr val="000000"/>
              </a:solidFill>
              <a:prstDash val="solid"/>
            </a:ln>
          </c:spPr>
          <c:dLbls>
            <c:dLbl>
              <c:idx val="1"/>
              <c:layout>
                <c:manualLayout>
                  <c:x val="5.8583592536822424E-3"/>
                  <c:y val="-8.2214149303135899E-3"/>
                </c:manualLayout>
              </c:layout>
              <c:dLblPos val="outEnd"/>
              <c:showVal val="1"/>
            </c:dLbl>
            <c:dLbl>
              <c:idx val="2"/>
              <c:layout>
                <c:manualLayout>
                  <c:x val="3.774806169969148E-3"/>
                  <c:y val="-1.7089787662203964E-2"/>
                </c:manualLayout>
              </c:layout>
              <c:dLblPos val="outEnd"/>
              <c:showVal val="1"/>
            </c:dLbl>
            <c:dLbl>
              <c:idx val="3"/>
              <c:layout>
                <c:manualLayout>
                  <c:x val="6.6915216569707484E-3"/>
                  <c:y val="-4.2576733372937492E-2"/>
                </c:manualLayout>
              </c:layout>
              <c:dLblPos val="outEnd"/>
              <c:showVal val="1"/>
            </c:dLbl>
            <c:dLbl>
              <c:idx val="4"/>
              <c:layout>
                <c:manualLayout>
                  <c:x val="2.2749831482729889E-3"/>
                  <c:y val="-2.2683374122313849E-4"/>
                </c:manualLayout>
              </c:layout>
              <c:dLblPos val="outEnd"/>
              <c:showVal val="1"/>
            </c:dLbl>
            <c:dLbl>
              <c:idx val="5"/>
              <c:layout>
                <c:manualLayout>
                  <c:x val="5.6994022266501729E-2"/>
                  <c:y val="4.3561940651417191E-3"/>
                </c:manualLayout>
              </c:layout>
              <c:dLblPos val="outEnd"/>
              <c:showVal val="1"/>
            </c:dLbl>
            <c:dLbl>
              <c:idx val="6"/>
              <c:layout>
                <c:manualLayout>
                  <c:x val="-6.0073629084229023E-2"/>
                  <c:y val="-1.6646144787977064E-2"/>
                </c:manualLayout>
              </c:layout>
              <c:dLblPos val="outEnd"/>
              <c:showVal val="1"/>
            </c:dLbl>
            <c:dLbl>
              <c:idx val="7"/>
              <c:layout>
                <c:manualLayout>
                  <c:x val="6.0716999423566856E-3"/>
                  <c:y val="-1.559157330783009E-2"/>
                </c:manualLayout>
              </c:layout>
              <c:dLblPos val="outEnd"/>
              <c:showVal val="1"/>
            </c:dLbl>
            <c:dLbl>
              <c:idx val="8"/>
              <c:layout>
                <c:manualLayout>
                  <c:x val="4.1962982742225433E-3"/>
                  <c:y val="-1.559157330783009E-2"/>
                </c:manualLayout>
              </c:layout>
              <c:dLblPos val="outEnd"/>
              <c:showVal val="1"/>
            </c:dLbl>
            <c:dLbl>
              <c:idx val="9"/>
              <c:layout>
                <c:manualLayout>
                  <c:x val="1.948133717528024E-4"/>
                  <c:y val="-1.8577190289346141E-2"/>
                </c:manualLayout>
              </c:layout>
              <c:dLblPos val="outEnd"/>
              <c:showVal val="1"/>
            </c:dLbl>
            <c:dLbl>
              <c:idx val="10"/>
              <c:layout>
                <c:manualLayout>
                  <c:x val="1.01539894858272E-2"/>
                  <c:y val="-1.5591478204421397E-2"/>
                </c:manualLayout>
              </c:layout>
              <c:dLblPos val="outEnd"/>
              <c:showVal val="1"/>
            </c:dLbl>
            <c:dLbl>
              <c:idx val="11"/>
              <c:dLblPos val="outEnd"/>
              <c:showVal val="1"/>
            </c:dLbl>
            <c:dLbl>
              <c:idx val="12"/>
              <c:layout>
                <c:manualLayout>
                  <c:x val="-0.26701551564032544"/>
                  <c:y val="0.24218478405693444"/>
                </c:manualLayout>
              </c:layout>
              <c:dLblPos val="outEnd"/>
              <c:showVal val="1"/>
            </c:dLbl>
            <c:dLbl>
              <c:idx val="13"/>
              <c:layout>
                <c:manualLayout>
                  <c:x val="-0.25062639875916881"/>
                  <c:y val="0.24254014181112923"/>
                </c:manualLayout>
              </c:layout>
              <c:dLblPos val="outEnd"/>
              <c:showVal val="1"/>
            </c:dLbl>
            <c:dLbl>
              <c:idx val="14"/>
              <c:layout>
                <c:manualLayout>
                  <c:x val="-0.33923766487451396"/>
                  <c:y val="0.32331641617760559"/>
                </c:manualLayout>
              </c:layout>
              <c:dLblPos val="outEnd"/>
              <c:showVal val="1"/>
            </c:dLbl>
            <c:dLbl>
              <c:idx val="15"/>
              <c:layout>
                <c:manualLayout>
                  <c:x val="-0.28284875398768944"/>
                  <c:y val="-6.1736954418376934E-2"/>
                </c:manualLayout>
              </c:layout>
              <c:dLblPos val="outEnd"/>
              <c:showVal val="1"/>
            </c:dLbl>
            <c:dLbl>
              <c:idx val="16"/>
              <c:layout>
                <c:manualLayout>
                  <c:x val="-0.3589597500217081"/>
                  <c:y val="1.6236855038820316E-2"/>
                </c:manualLayout>
              </c:layout>
              <c:dLblPos val="outEnd"/>
              <c:showVal val="1"/>
            </c:dLbl>
            <c:dLbl>
              <c:idx val="17"/>
              <c:layout>
                <c:manualLayout>
                  <c:x val="-0.3684771642416414"/>
                  <c:y val="0.27960571225732461"/>
                </c:manualLayout>
              </c:layout>
              <c:dLblPos val="outEnd"/>
              <c:showVal val="1"/>
            </c:dLbl>
            <c:dLbl>
              <c:idx val="18"/>
              <c:layout>
                <c:manualLayout>
                  <c:xMode val="edge"/>
                  <c:yMode val="edge"/>
                  <c:x val="0.61750075378509983"/>
                  <c:y val="0.21381613290266083"/>
                </c:manualLayout>
              </c:layout>
              <c:dLblPos val="outEnd"/>
              <c:showVal val="1"/>
            </c:dLbl>
            <c:dLbl>
              <c:idx val="19"/>
              <c:layout>
                <c:manualLayout>
                  <c:xMode val="edge"/>
                  <c:yMode val="edge"/>
                  <c:x val="0.65000079345800321"/>
                  <c:y val="0.26315831741865847"/>
                </c:manualLayout>
              </c:layout>
              <c:dLblPos val="outEnd"/>
              <c:showVal val="1"/>
            </c:dLbl>
            <c:numFmt formatCode="0%" sourceLinked="0"/>
            <c:spPr>
              <a:noFill/>
              <a:ln w="25400">
                <a:noFill/>
              </a:ln>
            </c:spPr>
            <c:txPr>
              <a:bodyPr/>
              <a:lstStyle/>
              <a:p>
                <a:pPr>
                  <a:defRPr sz="600" b="1" i="0" u="none" strike="noStrike" baseline="0">
                    <a:solidFill>
                      <a:srgbClr val="000000"/>
                    </a:solidFill>
                    <a:latin typeface="Arial"/>
                    <a:ea typeface="Arial"/>
                    <a:cs typeface="Arial"/>
                  </a:defRPr>
                </a:pPr>
                <a:endParaRPr lang="es-ES"/>
              </a:p>
            </c:txPr>
            <c:showVal val="1"/>
          </c:dLbls>
          <c:cat>
            <c:strRef>
              <c:f>DATOS!$B$18:$AG$18</c:f>
              <c:strCache>
                <c:ptCount val="12"/>
                <c:pt idx="0">
                  <c:v>Enero-Marzo/2012</c:v>
                </c:pt>
                <c:pt idx="1">
                  <c:v>Abril-Junio/2012</c:v>
                </c:pt>
                <c:pt idx="2">
                  <c:v>Julio-Sep/2012</c:v>
                </c:pt>
                <c:pt idx="3">
                  <c:v>Oct-Dic/2012</c:v>
                </c:pt>
                <c:pt idx="4">
                  <c:v>Ene-Mar/2013</c:v>
                </c:pt>
                <c:pt idx="5">
                  <c:v>Abr-jun/2013</c:v>
                </c:pt>
                <c:pt idx="6">
                  <c:v>Jul-sep/2013</c:v>
                </c:pt>
                <c:pt idx="7">
                  <c:v>Oct-Dic/2013</c:v>
                </c:pt>
                <c:pt idx="8">
                  <c:v>Enero -Mar/14</c:v>
                </c:pt>
                <c:pt idx="9">
                  <c:v>Abril - junio/14</c:v>
                </c:pt>
                <c:pt idx="10">
                  <c:v>Julio-Sept/14</c:v>
                </c:pt>
                <c:pt idx="11">
                  <c:v>Oct-Nov</c:v>
                </c:pt>
              </c:strCache>
            </c:strRef>
          </c:cat>
          <c:val>
            <c:numRef>
              <c:f>DATOS!$B$19:$AG$19</c:f>
              <c:numCache>
                <c:formatCode>0%</c:formatCode>
                <c:ptCount val="12"/>
                <c:pt idx="0">
                  <c:v>0.83561533063245175</c:v>
                </c:pt>
                <c:pt idx="1">
                  <c:v>0.91559999999999997</c:v>
                </c:pt>
                <c:pt idx="2">
                  <c:v>1</c:v>
                </c:pt>
                <c:pt idx="3">
                  <c:v>1</c:v>
                </c:pt>
                <c:pt idx="4">
                  <c:v>0.76000000000000134</c:v>
                </c:pt>
                <c:pt idx="5">
                  <c:v>1</c:v>
                </c:pt>
                <c:pt idx="6">
                  <c:v>1</c:v>
                </c:pt>
                <c:pt idx="7">
                  <c:v>1</c:v>
                </c:pt>
                <c:pt idx="8" formatCode="0.00%">
                  <c:v>0.998</c:v>
                </c:pt>
                <c:pt idx="9" formatCode="0.00%">
                  <c:v>0.94080000000000064</c:v>
                </c:pt>
                <c:pt idx="10">
                  <c:v>1</c:v>
                </c:pt>
                <c:pt idx="11">
                  <c:v>1</c:v>
                </c:pt>
              </c:numCache>
            </c:numRef>
          </c:val>
        </c:ser>
        <c:gapWidth val="60"/>
        <c:axId val="167360768"/>
        <c:axId val="167374848"/>
      </c:barChart>
      <c:lineChart>
        <c:grouping val="standard"/>
        <c:ser>
          <c:idx val="1"/>
          <c:order val="1"/>
          <c:tx>
            <c:strRef>
              <c:f>DATOS!$A$20</c:f>
              <c:strCache>
                <c:ptCount val="1"/>
                <c:pt idx="0">
                  <c:v>EXCELENTE</c:v>
                </c:pt>
              </c:strCache>
            </c:strRef>
          </c:tx>
          <c:spPr>
            <a:ln w="25400">
              <a:solidFill>
                <a:srgbClr val="339966"/>
              </a:solidFill>
              <a:prstDash val="solid"/>
            </a:ln>
          </c:spPr>
          <c:marker>
            <c:symbol val="none"/>
          </c:marker>
          <c:cat>
            <c:strRef>
              <c:f>DATOS!$B$18:$AG$18</c:f>
              <c:strCache>
                <c:ptCount val="12"/>
                <c:pt idx="0">
                  <c:v>Enero-Marzo/2012</c:v>
                </c:pt>
                <c:pt idx="1">
                  <c:v>Abril-Junio/2012</c:v>
                </c:pt>
                <c:pt idx="2">
                  <c:v>Julio-Sep/2012</c:v>
                </c:pt>
                <c:pt idx="3">
                  <c:v>Oct-Dic/2012</c:v>
                </c:pt>
                <c:pt idx="4">
                  <c:v>Ene-Mar/2013</c:v>
                </c:pt>
                <c:pt idx="5">
                  <c:v>Abr-jun/2013</c:v>
                </c:pt>
                <c:pt idx="6">
                  <c:v>Jul-sep/2013</c:v>
                </c:pt>
                <c:pt idx="7">
                  <c:v>Oct-Dic/2013</c:v>
                </c:pt>
                <c:pt idx="8">
                  <c:v>Enero -Mar/14</c:v>
                </c:pt>
                <c:pt idx="9">
                  <c:v>Abril - junio/14</c:v>
                </c:pt>
                <c:pt idx="10">
                  <c:v>Julio-Sept/14</c:v>
                </c:pt>
                <c:pt idx="11">
                  <c:v>Oct-Nov</c:v>
                </c:pt>
              </c:strCache>
            </c:strRef>
          </c:cat>
          <c:val>
            <c:numRef>
              <c:f>DATOS!$B$20:$AG$20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ser>
          <c:idx val="2"/>
          <c:order val="2"/>
          <c:tx>
            <c:strRef>
              <c:f>DATOS!$A$21</c:f>
              <c:strCache>
                <c:ptCount val="1"/>
                <c:pt idx="0">
                  <c:v>REGULAR</c:v>
                </c:pt>
              </c:strCache>
            </c:strRef>
          </c:tx>
          <c:spPr>
            <a:ln w="25400">
              <a:solidFill>
                <a:srgbClr val="3366FF"/>
              </a:solidFill>
              <a:prstDash val="solid"/>
            </a:ln>
          </c:spPr>
          <c:marker>
            <c:symbol val="none"/>
          </c:marker>
          <c:cat>
            <c:strRef>
              <c:f>DATOS!$B$18:$AG$18</c:f>
              <c:strCache>
                <c:ptCount val="12"/>
                <c:pt idx="0">
                  <c:v>Enero-Marzo/2012</c:v>
                </c:pt>
                <c:pt idx="1">
                  <c:v>Abril-Junio/2012</c:v>
                </c:pt>
                <c:pt idx="2">
                  <c:v>Julio-Sep/2012</c:v>
                </c:pt>
                <c:pt idx="3">
                  <c:v>Oct-Dic/2012</c:v>
                </c:pt>
                <c:pt idx="4">
                  <c:v>Ene-Mar/2013</c:v>
                </c:pt>
                <c:pt idx="5">
                  <c:v>Abr-jun/2013</c:v>
                </c:pt>
                <c:pt idx="6">
                  <c:v>Jul-sep/2013</c:v>
                </c:pt>
                <c:pt idx="7">
                  <c:v>Oct-Dic/2013</c:v>
                </c:pt>
                <c:pt idx="8">
                  <c:v>Enero -Mar/14</c:v>
                </c:pt>
                <c:pt idx="9">
                  <c:v>Abril - junio/14</c:v>
                </c:pt>
                <c:pt idx="10">
                  <c:v>Julio-Sept/14</c:v>
                </c:pt>
                <c:pt idx="11">
                  <c:v>Oct-Nov</c:v>
                </c:pt>
              </c:strCache>
            </c:strRef>
          </c:cat>
          <c:val>
            <c:numRef>
              <c:f>DATOS!$B$21:$AG$21</c:f>
              <c:numCache>
                <c:formatCode>0%</c:formatCode>
                <c:ptCount val="12"/>
                <c:pt idx="0">
                  <c:v>0.8</c:v>
                </c:pt>
                <c:pt idx="1">
                  <c:v>0.8</c:v>
                </c:pt>
                <c:pt idx="2">
                  <c:v>0.8</c:v>
                </c:pt>
                <c:pt idx="3">
                  <c:v>0.8</c:v>
                </c:pt>
                <c:pt idx="4">
                  <c:v>0.8</c:v>
                </c:pt>
                <c:pt idx="5">
                  <c:v>0.8</c:v>
                </c:pt>
                <c:pt idx="6">
                  <c:v>0.8</c:v>
                </c:pt>
                <c:pt idx="7">
                  <c:v>0.8</c:v>
                </c:pt>
                <c:pt idx="8">
                  <c:v>0.8</c:v>
                </c:pt>
                <c:pt idx="9">
                  <c:v>0.8</c:v>
                </c:pt>
                <c:pt idx="10">
                  <c:v>0.8</c:v>
                </c:pt>
                <c:pt idx="11">
                  <c:v>0.8</c:v>
                </c:pt>
              </c:numCache>
            </c:numRef>
          </c:val>
        </c:ser>
        <c:ser>
          <c:idx val="3"/>
          <c:order val="3"/>
          <c:tx>
            <c:strRef>
              <c:f>DATOS!$A$22</c:f>
              <c:strCache>
                <c:ptCount val="1"/>
                <c:pt idx="0">
                  <c:v>DEFICIENTE</c:v>
                </c:pt>
              </c:strCache>
            </c:strRef>
          </c:tx>
          <c:spPr>
            <a:ln w="25400">
              <a:solidFill>
                <a:srgbClr val="FF0000"/>
              </a:solidFill>
              <a:prstDash val="solid"/>
            </a:ln>
          </c:spPr>
          <c:marker>
            <c:symbol val="none"/>
          </c:marker>
          <c:cat>
            <c:strRef>
              <c:f>DATOS!$B$18:$AG$18</c:f>
              <c:strCache>
                <c:ptCount val="12"/>
                <c:pt idx="0">
                  <c:v>Enero-Marzo/2012</c:v>
                </c:pt>
                <c:pt idx="1">
                  <c:v>Abril-Junio/2012</c:v>
                </c:pt>
                <c:pt idx="2">
                  <c:v>Julio-Sep/2012</c:v>
                </c:pt>
                <c:pt idx="3">
                  <c:v>Oct-Dic/2012</c:v>
                </c:pt>
                <c:pt idx="4">
                  <c:v>Ene-Mar/2013</c:v>
                </c:pt>
                <c:pt idx="5">
                  <c:v>Abr-jun/2013</c:v>
                </c:pt>
                <c:pt idx="6">
                  <c:v>Jul-sep/2013</c:v>
                </c:pt>
                <c:pt idx="7">
                  <c:v>Oct-Dic/2013</c:v>
                </c:pt>
                <c:pt idx="8">
                  <c:v>Enero -Mar/14</c:v>
                </c:pt>
                <c:pt idx="9">
                  <c:v>Abril - junio/14</c:v>
                </c:pt>
                <c:pt idx="10">
                  <c:v>Julio-Sept/14</c:v>
                </c:pt>
                <c:pt idx="11">
                  <c:v>Oct-Nov</c:v>
                </c:pt>
              </c:strCache>
            </c:strRef>
          </c:cat>
          <c:val>
            <c:numRef>
              <c:f>DATOS!$B$22:$AG$22</c:f>
              <c:numCache>
                <c:formatCode>0%</c:formatCode>
                <c:ptCount val="12"/>
                <c:pt idx="0">
                  <c:v>0.60000000000000064</c:v>
                </c:pt>
                <c:pt idx="1">
                  <c:v>0.60000000000000064</c:v>
                </c:pt>
                <c:pt idx="2">
                  <c:v>0.60000000000000064</c:v>
                </c:pt>
                <c:pt idx="3">
                  <c:v>0.60000000000000064</c:v>
                </c:pt>
                <c:pt idx="4">
                  <c:v>0.60000000000000064</c:v>
                </c:pt>
                <c:pt idx="5">
                  <c:v>0.60000000000000064</c:v>
                </c:pt>
                <c:pt idx="6">
                  <c:v>0.60000000000000064</c:v>
                </c:pt>
                <c:pt idx="7">
                  <c:v>0.60000000000000064</c:v>
                </c:pt>
                <c:pt idx="8">
                  <c:v>0.60000000000000064</c:v>
                </c:pt>
                <c:pt idx="9">
                  <c:v>0.60000000000000064</c:v>
                </c:pt>
                <c:pt idx="10">
                  <c:v>0.60000000000000064</c:v>
                </c:pt>
                <c:pt idx="11">
                  <c:v>0.60000000000000064</c:v>
                </c:pt>
              </c:numCache>
            </c:numRef>
          </c:val>
        </c:ser>
        <c:marker val="1"/>
        <c:axId val="167360768"/>
        <c:axId val="167374848"/>
      </c:lineChart>
      <c:catAx>
        <c:axId val="167360768"/>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7374848"/>
        <c:crosses val="autoZero"/>
        <c:auto val="1"/>
        <c:lblAlgn val="ctr"/>
        <c:lblOffset val="100"/>
        <c:tickLblSkip val="1"/>
        <c:tickMarkSkip val="1"/>
      </c:catAx>
      <c:valAx>
        <c:axId val="167374848"/>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7360768"/>
        <c:crosses val="autoZero"/>
        <c:crossBetween val="between"/>
        <c:minorUnit val="0.1"/>
      </c:valAx>
      <c:spPr>
        <a:noFill/>
        <a:ln w="25400">
          <a:noFill/>
        </a:ln>
      </c:spPr>
    </c:plotArea>
    <c:legend>
      <c:legendPos val="r"/>
      <c:layout>
        <c:manualLayout>
          <c:xMode val="edge"/>
          <c:yMode val="edge"/>
          <c:x val="0.73980063110643768"/>
          <c:y val="0.15422426065761091"/>
          <c:w val="0.25388663787675742"/>
          <c:h val="0.77719403703406242"/>
        </c:manualLayout>
      </c:layout>
      <c:spPr>
        <a:solidFill>
          <a:srgbClr val="FFFFFF"/>
        </a:solidFill>
        <a:ln w="25400">
          <a:noFill/>
        </a:ln>
      </c:spPr>
      <c:txPr>
        <a:bodyPr/>
        <a:lstStyle/>
        <a:p>
          <a:pPr>
            <a:defRPr sz="67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lang val="es-ES"/>
  <c:roundedCorners val="1"/>
  <c:chart>
    <c:title/>
    <c:plotArea>
      <c:layout>
        <c:manualLayout>
          <c:layoutTarget val="inner"/>
          <c:xMode val="edge"/>
          <c:yMode val="edge"/>
          <c:x val="4.9265091863517151E-2"/>
          <c:y val="0.24796574687830764"/>
          <c:w val="0.64878688944369878"/>
          <c:h val="0.48051948051948334"/>
        </c:manualLayout>
      </c:layout>
      <c:lineChart>
        <c:grouping val="standard"/>
        <c:ser>
          <c:idx val="0"/>
          <c:order val="0"/>
          <c:tx>
            <c:strRef>
              <c:f>DATOS!$A$9</c:f>
              <c:strCache>
                <c:ptCount val="1"/>
                <c:pt idx="0">
                  <c:v>Func.Capacitados</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3.0588310607515608E-2"/>
                  <c:y val="-5.3935885650641474E-2"/>
                </c:manualLayout>
              </c:layout>
              <c:dLblPos val="r"/>
              <c:showVal val="1"/>
            </c:dLbl>
            <c:dLbl>
              <c:idx val="1"/>
              <c:layout>
                <c:manualLayout>
                  <c:x val="-3.4936943857627592E-2"/>
                  <c:y val="-5.9302858804188605E-2"/>
                </c:manualLayout>
              </c:layout>
              <c:dLblPos val="r"/>
              <c:showVal val="1"/>
            </c:dLbl>
            <c:dLbl>
              <c:idx val="2"/>
              <c:layout>
                <c:manualLayout>
                  <c:x val="-3.3865736295158225E-2"/>
                  <c:y val="-5.3675349564286629E-2"/>
                </c:manualLayout>
              </c:layout>
              <c:dLblPos val="r"/>
              <c:showVal val="1"/>
            </c:dLbl>
            <c:dLbl>
              <c:idx val="3"/>
              <c:layout>
                <c:manualLayout>
                  <c:x val="-3.0377910078313489E-2"/>
                  <c:y val="-6.4241457260494655E-2"/>
                </c:manualLayout>
              </c:layout>
              <c:dLblPos val="r"/>
              <c:showVal val="1"/>
            </c:dLbl>
            <c:dLbl>
              <c:idx val="4"/>
              <c:layout>
                <c:manualLayout>
                  <c:x val="0.11626336342103605"/>
                  <c:y val="-4.6196699829422795E-2"/>
                </c:manualLayout>
              </c:layout>
              <c:dLblPos val="r"/>
              <c:showVal val="1"/>
            </c:dLbl>
            <c:dLbl>
              <c:idx val="5"/>
              <c:layout>
                <c:manualLayout>
                  <c:x val="1.3090924610033501E-2"/>
                  <c:y val="-5.0096314081519093E-2"/>
                </c:manualLayout>
              </c:layout>
              <c:dLblPos val="r"/>
              <c:showVal val="1"/>
            </c:dLbl>
            <c:dLbl>
              <c:idx val="6"/>
              <c:layout>
                <c:manualLayout>
                  <c:x val="-0.12615325523333967"/>
                  <c:y val="-5.9014934827354634E-2"/>
                </c:manualLayout>
              </c:layout>
              <c:dLblPos val="r"/>
              <c:showVal val="1"/>
            </c:dLbl>
            <c:dLbl>
              <c:idx val="7"/>
              <c:layout>
                <c:manualLayout>
                  <c:x val="-0.13249791946738398"/>
                  <c:y val="-4.7481472794344282E-2"/>
                </c:manualLayout>
              </c:layout>
              <c:dLblPos val="r"/>
              <c:showVal val="1"/>
            </c:dLbl>
            <c:dLbl>
              <c:idx val="8"/>
              <c:layout>
                <c:manualLayout>
                  <c:x val="-3.9099076030130381E-2"/>
                  <c:y val="-4.6278161247258545E-2"/>
                </c:manualLayout>
              </c:layout>
              <c:dLblPos val="r"/>
              <c:showVal val="1"/>
            </c:dLbl>
            <c:dLbl>
              <c:idx val="9"/>
              <c:layout>
                <c:manualLayout>
                  <c:x val="-6.0025819943238891E-2"/>
                  <c:y val="-4.1244758554677692E-2"/>
                </c:manualLayout>
              </c:layout>
              <c:dLblPos val="r"/>
              <c:showVal val="1"/>
            </c:dLbl>
            <c:dLbl>
              <c:idx val="10"/>
              <c:layout>
                <c:manualLayout>
                  <c:x val="-5.7844141433540233E-2"/>
                  <c:y val="-1.2492038199786937E-2"/>
                </c:manualLayout>
              </c:layout>
              <c:dLblPos val="r"/>
              <c:showVal val="1"/>
            </c:dLbl>
            <c:dLbl>
              <c:idx val="11"/>
              <c:layout>
                <c:manualLayout>
                  <c:x val="-4.446514307662762E-2"/>
                  <c:y val="-7.1635836563114688E-2"/>
                </c:manualLayout>
              </c:layout>
              <c:dLblPos val="r"/>
              <c:showVal val="1"/>
            </c:dLbl>
            <c:dLbl>
              <c:idx val="12"/>
              <c:layout>
                <c:manualLayout>
                  <c:x val="-4.1326846339330529E-3"/>
                  <c:y val="-4.2010566107696205E-2"/>
                </c:manualLayout>
              </c:layout>
              <c:dLblPos val="r"/>
              <c:showVal val="1"/>
            </c:dLbl>
            <c:dLbl>
              <c:idx val="13"/>
              <c:layout>
                <c:manualLayout>
                  <c:x val="0.22733043075497941"/>
                  <c:y val="6.6656099805706664E-2"/>
                </c:manualLayout>
              </c:layout>
              <c:dLblPos val="r"/>
              <c:showVal val="1"/>
            </c:dLbl>
            <c:dLbl>
              <c:idx val="14"/>
              <c:layout>
                <c:manualLayout>
                  <c:x val="0.23728516288405221"/>
                  <c:y val="-0.26343048028087634"/>
                </c:manualLayout>
              </c:layout>
              <c:dLblPos val="r"/>
              <c:showVal val="1"/>
            </c:dLbl>
            <c:dLbl>
              <c:idx val="15"/>
              <c:layout>
                <c:manualLayout>
                  <c:x val="0.24018107148371187"/>
                  <c:y val="-0.20953437638477004"/>
                </c:manualLayout>
              </c:layout>
              <c:dLblPos val="r"/>
              <c:showVal val="1"/>
            </c:dLbl>
            <c:dLbl>
              <c:idx val="16"/>
              <c:layout>
                <c:manualLayout>
                  <c:x val="0.25719462714219499"/>
                  <c:y val="-0.1649456317960282"/>
                </c:manualLayout>
              </c:layout>
              <c:dLblPos val="r"/>
              <c:showVal val="1"/>
            </c:dLbl>
            <c:spPr>
              <a:noFill/>
              <a:ln w="25400">
                <a:noFill/>
              </a:ln>
            </c:spPr>
            <c:txPr>
              <a:bodyPr/>
              <a:lstStyle/>
              <a:p>
                <a:pPr>
                  <a:defRPr sz="900" b="1" i="0" u="none" strike="noStrike" baseline="0">
                    <a:solidFill>
                      <a:srgbClr val="000000"/>
                    </a:solidFill>
                    <a:latin typeface="Arial"/>
                    <a:ea typeface="Arial"/>
                    <a:cs typeface="Arial"/>
                  </a:defRPr>
                </a:pPr>
                <a:endParaRPr lang="es-ES"/>
              </a:p>
            </c:txPr>
            <c:showVal val="1"/>
          </c:dLbls>
          <c:cat>
            <c:strRef>
              <c:f>DATOS!$B$8:$AF$8</c:f>
              <c:strCache>
                <c:ptCount val="13"/>
                <c:pt idx="0">
                  <c:v>ENE-MAR 2011</c:v>
                </c:pt>
                <c:pt idx="1">
                  <c:v>ABR - JUN/2011 </c:v>
                </c:pt>
                <c:pt idx="2">
                  <c:v>JUL-SEP/2011</c:v>
                </c:pt>
                <c:pt idx="3">
                  <c:v>OCT-DIC/2011</c:v>
                </c:pt>
                <c:pt idx="4">
                  <c:v>ENE-MAR 2012</c:v>
                </c:pt>
                <c:pt idx="5">
                  <c:v>ABR - JUN/2012</c:v>
                </c:pt>
                <c:pt idx="6">
                  <c:v>JUL-SEP/2012</c:v>
                </c:pt>
                <c:pt idx="7">
                  <c:v>OCT-DIC/2012</c:v>
                </c:pt>
                <c:pt idx="8">
                  <c:v>ENE-MAR 2013</c:v>
                </c:pt>
                <c:pt idx="9">
                  <c:v>ABR - JUN/2013</c:v>
                </c:pt>
                <c:pt idx="10">
                  <c:v>JUL-SEP/2013</c:v>
                </c:pt>
                <c:pt idx="11">
                  <c:v>OCT-DIC/2013</c:v>
                </c:pt>
                <c:pt idx="12">
                  <c:v>ENE-MAR 2014</c:v>
                </c:pt>
              </c:strCache>
            </c:strRef>
          </c:cat>
          <c:val>
            <c:numRef>
              <c:f>DATOS!$B$9:$AF$9</c:f>
              <c:numCache>
                <c:formatCode>General</c:formatCode>
                <c:ptCount val="13"/>
                <c:pt idx="0">
                  <c:v>3</c:v>
                </c:pt>
                <c:pt idx="1">
                  <c:v>3</c:v>
                </c:pt>
                <c:pt idx="2">
                  <c:v>3</c:v>
                </c:pt>
                <c:pt idx="3">
                  <c:v>3</c:v>
                </c:pt>
                <c:pt idx="4">
                  <c:v>3</c:v>
                </c:pt>
                <c:pt idx="5">
                  <c:v>3</c:v>
                </c:pt>
                <c:pt idx="6">
                  <c:v>3</c:v>
                </c:pt>
                <c:pt idx="7">
                  <c:v>3</c:v>
                </c:pt>
                <c:pt idx="8">
                  <c:v>3</c:v>
                </c:pt>
                <c:pt idx="9">
                  <c:v>6</c:v>
                </c:pt>
                <c:pt idx="10">
                  <c:v>9</c:v>
                </c:pt>
                <c:pt idx="11">
                  <c:v>11</c:v>
                </c:pt>
                <c:pt idx="12">
                  <c:v>0</c:v>
                </c:pt>
              </c:numCache>
            </c:numRef>
          </c:val>
          <c:smooth val="1"/>
        </c:ser>
        <c:ser>
          <c:idx val="1"/>
          <c:order val="1"/>
          <c:tx>
            <c:strRef>
              <c:f>DATOS!$A$10</c:f>
              <c:strCache>
                <c:ptCount val="1"/>
                <c:pt idx="0">
                  <c:v>EXCELENTE</c:v>
                </c:pt>
              </c:strCache>
            </c:strRef>
          </c:tx>
          <c:spPr>
            <a:ln w="25400">
              <a:solidFill>
                <a:srgbClr val="008000"/>
              </a:solidFill>
              <a:prstDash val="solid"/>
            </a:ln>
          </c:spPr>
          <c:marker>
            <c:symbol val="none"/>
          </c:marker>
          <c:cat>
            <c:strRef>
              <c:f>DATOS!$B$8:$AF$8</c:f>
              <c:strCache>
                <c:ptCount val="13"/>
                <c:pt idx="0">
                  <c:v>ENE-MAR 2011</c:v>
                </c:pt>
                <c:pt idx="1">
                  <c:v>ABR - JUN/2011 </c:v>
                </c:pt>
                <c:pt idx="2">
                  <c:v>JUL-SEP/2011</c:v>
                </c:pt>
                <c:pt idx="3">
                  <c:v>OCT-DIC/2011</c:v>
                </c:pt>
                <c:pt idx="4">
                  <c:v>ENE-MAR 2012</c:v>
                </c:pt>
                <c:pt idx="5">
                  <c:v>ABR - JUN/2012</c:v>
                </c:pt>
                <c:pt idx="6">
                  <c:v>JUL-SEP/2012</c:v>
                </c:pt>
                <c:pt idx="7">
                  <c:v>OCT-DIC/2012</c:v>
                </c:pt>
                <c:pt idx="8">
                  <c:v>ENE-MAR 2013</c:v>
                </c:pt>
                <c:pt idx="9">
                  <c:v>ABR - JUN/2013</c:v>
                </c:pt>
                <c:pt idx="10">
                  <c:v>JUL-SEP/2013</c:v>
                </c:pt>
                <c:pt idx="11">
                  <c:v>OCT-DIC/2013</c:v>
                </c:pt>
                <c:pt idx="12">
                  <c:v>ENE-MAR 2014</c:v>
                </c:pt>
              </c:strCache>
            </c:strRef>
          </c:cat>
          <c:val>
            <c:numRef>
              <c:f>DATOS!$B$10:$AF$10</c:f>
              <c:numCache>
                <c:formatCode>General</c:formatCode>
                <c:ptCount val="13"/>
                <c:pt idx="0">
                  <c:v>10</c:v>
                </c:pt>
                <c:pt idx="1">
                  <c:v>10</c:v>
                </c:pt>
                <c:pt idx="2">
                  <c:v>10</c:v>
                </c:pt>
                <c:pt idx="3">
                  <c:v>10</c:v>
                </c:pt>
                <c:pt idx="4">
                  <c:v>10</c:v>
                </c:pt>
                <c:pt idx="5">
                  <c:v>10</c:v>
                </c:pt>
                <c:pt idx="6">
                  <c:v>10</c:v>
                </c:pt>
                <c:pt idx="7">
                  <c:v>10</c:v>
                </c:pt>
                <c:pt idx="8">
                  <c:v>10</c:v>
                </c:pt>
                <c:pt idx="9">
                  <c:v>10</c:v>
                </c:pt>
                <c:pt idx="10">
                  <c:v>10</c:v>
                </c:pt>
                <c:pt idx="11">
                  <c:v>10</c:v>
                </c:pt>
                <c:pt idx="12">
                  <c:v>10</c:v>
                </c:pt>
              </c:numCache>
            </c:numRef>
          </c:val>
          <c:smooth val="1"/>
        </c:ser>
        <c:ser>
          <c:idx val="2"/>
          <c:order val="2"/>
          <c:tx>
            <c:strRef>
              <c:f>DATOS!$A$11</c:f>
              <c:strCache>
                <c:ptCount val="1"/>
                <c:pt idx="0">
                  <c:v>REGULAR</c:v>
                </c:pt>
              </c:strCache>
            </c:strRef>
          </c:tx>
          <c:spPr>
            <a:ln w="25400">
              <a:solidFill>
                <a:srgbClr val="0000FF"/>
              </a:solidFill>
              <a:prstDash val="solid"/>
            </a:ln>
          </c:spPr>
          <c:marker>
            <c:symbol val="none"/>
          </c:marker>
          <c:cat>
            <c:strRef>
              <c:f>DATOS!$B$8:$AF$8</c:f>
              <c:strCache>
                <c:ptCount val="13"/>
                <c:pt idx="0">
                  <c:v>ENE-MAR 2011</c:v>
                </c:pt>
                <c:pt idx="1">
                  <c:v>ABR - JUN/2011 </c:v>
                </c:pt>
                <c:pt idx="2">
                  <c:v>JUL-SEP/2011</c:v>
                </c:pt>
                <c:pt idx="3">
                  <c:v>OCT-DIC/2011</c:v>
                </c:pt>
                <c:pt idx="4">
                  <c:v>ENE-MAR 2012</c:v>
                </c:pt>
                <c:pt idx="5">
                  <c:v>ABR - JUN/2012</c:v>
                </c:pt>
                <c:pt idx="6">
                  <c:v>JUL-SEP/2012</c:v>
                </c:pt>
                <c:pt idx="7">
                  <c:v>OCT-DIC/2012</c:v>
                </c:pt>
                <c:pt idx="8">
                  <c:v>ENE-MAR 2013</c:v>
                </c:pt>
                <c:pt idx="9">
                  <c:v>ABR - JUN/2013</c:v>
                </c:pt>
                <c:pt idx="10">
                  <c:v>JUL-SEP/2013</c:v>
                </c:pt>
                <c:pt idx="11">
                  <c:v>OCT-DIC/2013</c:v>
                </c:pt>
                <c:pt idx="12">
                  <c:v>ENE-MAR 2014</c:v>
                </c:pt>
              </c:strCache>
            </c:strRef>
          </c:cat>
          <c:val>
            <c:numRef>
              <c:f>DATOS!$B$11:$AF$11</c:f>
              <c:numCache>
                <c:formatCode>General</c:formatCode>
                <c:ptCount val="13"/>
                <c:pt idx="0">
                  <c:v>8</c:v>
                </c:pt>
                <c:pt idx="1">
                  <c:v>8</c:v>
                </c:pt>
                <c:pt idx="2">
                  <c:v>8</c:v>
                </c:pt>
                <c:pt idx="3">
                  <c:v>8</c:v>
                </c:pt>
                <c:pt idx="4">
                  <c:v>8</c:v>
                </c:pt>
                <c:pt idx="5">
                  <c:v>8</c:v>
                </c:pt>
                <c:pt idx="6">
                  <c:v>8</c:v>
                </c:pt>
                <c:pt idx="7">
                  <c:v>8</c:v>
                </c:pt>
                <c:pt idx="8">
                  <c:v>8</c:v>
                </c:pt>
                <c:pt idx="9">
                  <c:v>8</c:v>
                </c:pt>
                <c:pt idx="10">
                  <c:v>8</c:v>
                </c:pt>
                <c:pt idx="11">
                  <c:v>8</c:v>
                </c:pt>
                <c:pt idx="12">
                  <c:v>8</c:v>
                </c:pt>
              </c:numCache>
            </c:numRef>
          </c:val>
          <c:smooth val="1"/>
        </c:ser>
        <c:ser>
          <c:idx val="3"/>
          <c:order val="3"/>
          <c:tx>
            <c:strRef>
              <c:f>DATOS!$A$12</c:f>
              <c:strCache>
                <c:ptCount val="1"/>
                <c:pt idx="0">
                  <c:v>DEFICIENTE</c:v>
                </c:pt>
              </c:strCache>
            </c:strRef>
          </c:tx>
          <c:spPr>
            <a:ln w="25400">
              <a:solidFill>
                <a:srgbClr val="FF0000"/>
              </a:solidFill>
              <a:prstDash val="solid"/>
            </a:ln>
          </c:spPr>
          <c:marker>
            <c:symbol val="none"/>
          </c:marker>
          <c:cat>
            <c:strRef>
              <c:f>DATOS!$B$8:$AF$8</c:f>
              <c:strCache>
                <c:ptCount val="13"/>
                <c:pt idx="0">
                  <c:v>ENE-MAR 2011</c:v>
                </c:pt>
                <c:pt idx="1">
                  <c:v>ABR - JUN/2011 </c:v>
                </c:pt>
                <c:pt idx="2">
                  <c:v>JUL-SEP/2011</c:v>
                </c:pt>
                <c:pt idx="3">
                  <c:v>OCT-DIC/2011</c:v>
                </c:pt>
                <c:pt idx="4">
                  <c:v>ENE-MAR 2012</c:v>
                </c:pt>
                <c:pt idx="5">
                  <c:v>ABR - JUN/2012</c:v>
                </c:pt>
                <c:pt idx="6">
                  <c:v>JUL-SEP/2012</c:v>
                </c:pt>
                <c:pt idx="7">
                  <c:v>OCT-DIC/2012</c:v>
                </c:pt>
                <c:pt idx="8">
                  <c:v>ENE-MAR 2013</c:v>
                </c:pt>
                <c:pt idx="9">
                  <c:v>ABR - JUN/2013</c:v>
                </c:pt>
                <c:pt idx="10">
                  <c:v>JUL-SEP/2013</c:v>
                </c:pt>
                <c:pt idx="11">
                  <c:v>OCT-DIC/2013</c:v>
                </c:pt>
                <c:pt idx="12">
                  <c:v>ENE-MAR 2014</c:v>
                </c:pt>
              </c:strCache>
            </c:strRef>
          </c:cat>
          <c:val>
            <c:numRef>
              <c:f>DATOS!$B$12:$AF$12</c:f>
              <c:numCache>
                <c:formatCode>General</c:formatCode>
                <c:ptCount val="13"/>
                <c:pt idx="0">
                  <c:v>5</c:v>
                </c:pt>
                <c:pt idx="1">
                  <c:v>5</c:v>
                </c:pt>
                <c:pt idx="2">
                  <c:v>5</c:v>
                </c:pt>
                <c:pt idx="3">
                  <c:v>5</c:v>
                </c:pt>
                <c:pt idx="4">
                  <c:v>5</c:v>
                </c:pt>
                <c:pt idx="5">
                  <c:v>5</c:v>
                </c:pt>
                <c:pt idx="6">
                  <c:v>5</c:v>
                </c:pt>
                <c:pt idx="7">
                  <c:v>5</c:v>
                </c:pt>
                <c:pt idx="8">
                  <c:v>5</c:v>
                </c:pt>
                <c:pt idx="9">
                  <c:v>5</c:v>
                </c:pt>
                <c:pt idx="10">
                  <c:v>5</c:v>
                </c:pt>
                <c:pt idx="11">
                  <c:v>5</c:v>
                </c:pt>
                <c:pt idx="12">
                  <c:v>5</c:v>
                </c:pt>
              </c:numCache>
            </c:numRef>
          </c:val>
          <c:smooth val="1"/>
        </c:ser>
        <c:marker val="1"/>
        <c:axId val="167999744"/>
        <c:axId val="168030208"/>
      </c:lineChart>
      <c:catAx>
        <c:axId val="167999744"/>
        <c:scaling>
          <c:orientation val="minMax"/>
        </c:scaling>
        <c:axPos val="b"/>
        <c:numFmt formatCode="General" sourceLinked="1"/>
        <c:tickLblPos val="nextTo"/>
        <c:spPr>
          <a:ln w="3175">
            <a:solidFill>
              <a:srgbClr val="000000"/>
            </a:solidFill>
            <a:prstDash val="solid"/>
          </a:ln>
        </c:spPr>
        <c:txPr>
          <a:bodyPr rot="-5400000" vert="horz"/>
          <a:lstStyle/>
          <a:p>
            <a:pPr>
              <a:defRPr sz="700" b="1" i="0" u="none" strike="noStrike" baseline="0">
                <a:solidFill>
                  <a:srgbClr val="000000"/>
                </a:solidFill>
                <a:latin typeface="Arial"/>
                <a:ea typeface="Arial"/>
                <a:cs typeface="Arial"/>
              </a:defRPr>
            </a:pPr>
            <a:endParaRPr lang="es-ES"/>
          </a:p>
        </c:txPr>
        <c:crossAx val="168030208"/>
        <c:crossesAt val="0"/>
        <c:auto val="1"/>
        <c:lblAlgn val="ctr"/>
        <c:lblOffset val="100"/>
        <c:tickLblSkip val="1"/>
        <c:tickMarkSkip val="1"/>
      </c:catAx>
      <c:valAx>
        <c:axId val="168030208"/>
        <c:scaling>
          <c:orientation val="minMax"/>
          <c:max val="15"/>
          <c:min val="0"/>
        </c:scaling>
        <c:axPos val="l"/>
        <c:numFmt formatCode="General"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167999744"/>
        <c:crosses val="autoZero"/>
        <c:crossBetween val="between"/>
        <c:majorUnit val="5"/>
        <c:minorUnit val="1"/>
      </c:valAx>
      <c:spPr>
        <a:noFill/>
        <a:ln w="25400">
          <a:noFill/>
        </a:ln>
      </c:spPr>
    </c:plotArea>
    <c:legend>
      <c:legendPos val="t"/>
      <c:layout>
        <c:manualLayout>
          <c:xMode val="edge"/>
          <c:yMode val="edge"/>
          <c:x val="0.74945948829567133"/>
          <c:y val="0.18001568834546988"/>
          <c:w val="0.23406973518554094"/>
          <c:h val="0.6852495844414310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PROMEDIO EVALUACION DE DESEMPEÑO</a:t>
            </a:r>
          </a:p>
        </c:rich>
      </c:tx>
    </c:title>
    <c:plotArea>
      <c:layout>
        <c:manualLayout>
          <c:layoutTarget val="inner"/>
          <c:xMode val="edge"/>
          <c:yMode val="edge"/>
          <c:x val="0.10070269126753213"/>
          <c:y val="0.1924562342328569"/>
          <c:w val="0.66441760956351181"/>
          <c:h val="0.51933848074815858"/>
        </c:manualLayout>
      </c:layout>
      <c:barChart>
        <c:barDir val="col"/>
        <c:grouping val="clustered"/>
        <c:ser>
          <c:idx val="0"/>
          <c:order val="0"/>
          <c:tx>
            <c:strRef>
              <c:f>DATOS!$A$3</c:f>
              <c:strCache>
                <c:ptCount val="1"/>
                <c:pt idx="0">
                  <c:v>PROMEDIO EVALUACION DESEMPEÑO</c:v>
                </c:pt>
              </c:strCache>
            </c:strRef>
          </c:tx>
          <c:spPr>
            <a:solidFill>
              <a:srgbClr val="009900"/>
            </a:solidFill>
            <a:ln w="12700">
              <a:solidFill>
                <a:srgbClr val="000000"/>
              </a:solidFill>
              <a:prstDash val="solid"/>
            </a:ln>
          </c:spPr>
          <c:dLbls>
            <c:dLbl>
              <c:idx val="1"/>
              <c:layout>
                <c:manualLayout>
                  <c:x val="6.1573563055561924E-3"/>
                  <c:y val="-2.0848615118564232E-2"/>
                </c:manualLayout>
              </c:layout>
              <c:dLblPos val="outEnd"/>
              <c:showVal val="1"/>
            </c:dLbl>
            <c:dLbl>
              <c:idx val="2"/>
              <c:layout>
                <c:manualLayout>
                  <c:x val="2.4600034346218103E-2"/>
                  <c:y val="-1.7500175973651982E-2"/>
                </c:manualLayout>
              </c:layout>
              <c:dLblPos val="outEnd"/>
              <c:showVal val="1"/>
            </c:dLbl>
            <c:dLbl>
              <c:idx val="3"/>
              <c:layout>
                <c:manualLayout>
                  <c:x val="1.2597712701347148E-2"/>
                  <c:y val="-4.7114525715271994E-3"/>
                </c:manualLayout>
              </c:layout>
              <c:dLblPos val="outEnd"/>
              <c:showVal val="1"/>
            </c:dLbl>
            <c:dLbl>
              <c:idx val="4"/>
              <c:layout>
                <c:manualLayout>
                  <c:x val="5.9514518557071694E-4"/>
                  <c:y val="-1.6606207037314833E-2"/>
                </c:manualLayout>
              </c:layout>
              <c:dLblPos val="outEnd"/>
              <c:showVal val="1"/>
            </c:dLbl>
            <c:dLbl>
              <c:idx val="5"/>
              <c:layout>
                <c:manualLayout>
                  <c:x val="-1.8432945617500123E-2"/>
                  <c:y val="-3.2619976118874329E-2"/>
                </c:manualLayout>
              </c:layout>
              <c:dLblPos val="outEnd"/>
              <c:showVal val="1"/>
            </c:dLbl>
            <c:dLbl>
              <c:idx val="6"/>
              <c:layout>
                <c:manualLayout>
                  <c:x val="6.7151900130130926E-3"/>
                  <c:y val="-6.2248044237188833E-3"/>
                </c:manualLayout>
              </c:layout>
              <c:dLblPos val="outEnd"/>
              <c:showVal val="1"/>
            </c:dLbl>
            <c:dLbl>
              <c:idx val="7"/>
              <c:layout>
                <c:manualLayout>
                  <c:x val="-1.0165641059572421E-3"/>
                  <c:y val="1.8703972683025915E-3"/>
                </c:manualLayout>
              </c:layout>
              <c:dLblPos val="outEnd"/>
              <c:showVal val="1"/>
            </c:dLbl>
            <c:dLbl>
              <c:idx val="8"/>
              <c:layout>
                <c:manualLayout>
                  <c:x val="-7.4503396295483484E-2"/>
                  <c:y val="1.6501703349652577E-2"/>
                </c:manualLayout>
              </c:layout>
              <c:dLblPos val="outEnd"/>
              <c:showVal val="1"/>
            </c:dLbl>
            <c:dLbl>
              <c:idx val="9"/>
              <c:layout>
                <c:manualLayout>
                  <c:x val="-0.1604518624760109"/>
                  <c:y val="1.6501703349652577E-2"/>
                </c:manualLayout>
              </c:layout>
              <c:dLblPos val="outEnd"/>
              <c:showVal val="1"/>
            </c:dLbl>
            <c:dLbl>
              <c:idx val="10"/>
              <c:layout>
                <c:manualLayout>
                  <c:x val="3.181014836369065E-2"/>
                  <c:y val="-0.21895056414603734"/>
                </c:manualLayout>
              </c:layout>
              <c:dLblPos val="outEnd"/>
              <c:showVal val="1"/>
            </c:dLbl>
            <c:dLbl>
              <c:idx val="11"/>
              <c:layout>
                <c:manualLayout>
                  <c:x val="3.827957312269295E-2"/>
                  <c:y val="1.6501703349652577E-2"/>
                </c:manualLayout>
              </c:layout>
              <c:dLblPos val="outEnd"/>
              <c:showVal val="1"/>
            </c:dLbl>
            <c:dLbl>
              <c:idx val="12"/>
              <c:layout>
                <c:manualLayout>
                  <c:x val="-0.52560378032671129"/>
                  <c:y val="0.42592464504600736"/>
                </c:manualLayout>
              </c:layout>
              <c:dLblPos val="outEnd"/>
              <c:showVal val="1"/>
            </c:dLbl>
            <c:dLbl>
              <c:idx val="13"/>
              <c:layout>
                <c:manualLayout>
                  <c:x val="-0.38291036057593564"/>
                  <c:y val="0.52145382584901556"/>
                </c:manualLayout>
              </c:layout>
              <c:dLblPos val="outEnd"/>
              <c:showVal val="1"/>
            </c:dLbl>
            <c:dLbl>
              <c:idx val="14"/>
              <c:layout>
                <c:manualLayout>
                  <c:x val="-0.44752354544119222"/>
                  <c:y val="0.3533171503075353"/>
                </c:manualLayout>
              </c:layout>
              <c:dLblPos val="outEnd"/>
              <c:showVal val="1"/>
            </c:dLbl>
            <c:dLbl>
              <c:idx val="15"/>
              <c:layout>
                <c:manualLayout>
                  <c:x val="-0.43238340405980802"/>
                  <c:y val="0.21122180287555073"/>
                </c:manualLayout>
              </c:layout>
              <c:dLblPos val="outEnd"/>
              <c:showVal val="1"/>
            </c:dLbl>
            <c:dLbl>
              <c:idx val="16"/>
              <c:layout>
                <c:manualLayout>
                  <c:xMode val="edge"/>
                  <c:yMode val="edge"/>
                  <c:x val="0.48946191802125832"/>
                  <c:y val="0.28382929761402376"/>
                </c:manualLayout>
              </c:layout>
              <c:dLblPos val="outEnd"/>
              <c:showVal val="1"/>
            </c:dLbl>
            <c:dLbl>
              <c:idx val="17"/>
              <c:layout>
                <c:manualLayout>
                  <c:xMode val="edge"/>
                  <c:yMode val="edge"/>
                  <c:x val="0.5503519173923237"/>
                  <c:y val="0.28052895694409286"/>
                </c:manualLayout>
              </c:layout>
              <c:dLblPos val="outEnd"/>
              <c:showVal val="1"/>
            </c:dLbl>
            <c:dLbl>
              <c:idx val="18"/>
              <c:layout>
                <c:manualLayout>
                  <c:xMode val="edge"/>
                  <c:yMode val="edge"/>
                  <c:x val="0.57845499402512313"/>
                  <c:y val="0.21452214354548249"/>
                </c:manualLayout>
              </c:layout>
              <c:dLblPos val="outEnd"/>
              <c:showVal val="1"/>
            </c:dLbl>
            <c:dLbl>
              <c:idx val="19"/>
              <c:layout>
                <c:manualLayout>
                  <c:xMode val="edge"/>
                  <c:yMode val="edge"/>
                  <c:x val="0.60889999371065584"/>
                  <c:y val="0.2640272535944384"/>
                </c:manualLayout>
              </c:layout>
              <c:dLblPos val="outEnd"/>
              <c:showVal val="1"/>
            </c:dLbl>
            <c:numFmt formatCode="0.0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DATOS!$B$2:$AI$2</c:f>
              <c:strCache>
                <c:ptCount val="8"/>
                <c:pt idx="0">
                  <c:v>ENE-MAR 2013</c:v>
                </c:pt>
                <c:pt idx="1">
                  <c:v>ABR - JUN/2013</c:v>
                </c:pt>
                <c:pt idx="2">
                  <c:v>JUL-SEP/2013</c:v>
                </c:pt>
                <c:pt idx="3">
                  <c:v>OCT-DIC/2013</c:v>
                </c:pt>
                <c:pt idx="4">
                  <c:v>ENE-MAR 2014</c:v>
                </c:pt>
                <c:pt idx="5">
                  <c:v>ABR - JUN/2014</c:v>
                </c:pt>
                <c:pt idx="6">
                  <c:v>JUL-SEP/2014</c:v>
                </c:pt>
                <c:pt idx="7">
                  <c:v>OCT-DIC/2014</c:v>
                </c:pt>
              </c:strCache>
            </c:strRef>
          </c:cat>
          <c:val>
            <c:numRef>
              <c:f>DATOS!$B$3:$AI$3</c:f>
              <c:numCache>
                <c:formatCode>General</c:formatCode>
                <c:ptCount val="8"/>
                <c:pt idx="0">
                  <c:v>4.8</c:v>
                </c:pt>
                <c:pt idx="1">
                  <c:v>4.8</c:v>
                </c:pt>
                <c:pt idx="2">
                  <c:v>4.8</c:v>
                </c:pt>
                <c:pt idx="3">
                  <c:v>4.8</c:v>
                </c:pt>
                <c:pt idx="4">
                  <c:v>4.7</c:v>
                </c:pt>
                <c:pt idx="5">
                  <c:v>4.7</c:v>
                </c:pt>
                <c:pt idx="6">
                  <c:v>4.8</c:v>
                </c:pt>
                <c:pt idx="7">
                  <c:v>4.7</c:v>
                </c:pt>
              </c:numCache>
            </c:numRef>
          </c:val>
        </c:ser>
        <c:gapWidth val="50"/>
        <c:axId val="167938688"/>
        <c:axId val="168051072"/>
      </c:barChart>
      <c:lineChart>
        <c:grouping val="standard"/>
        <c:ser>
          <c:idx val="1"/>
          <c:order val="1"/>
          <c:tx>
            <c:strRef>
              <c:f>DATOS!$A$4</c:f>
              <c:strCache>
                <c:ptCount val="1"/>
                <c:pt idx="0">
                  <c:v>EXCELENTE</c:v>
                </c:pt>
              </c:strCache>
            </c:strRef>
          </c:tx>
          <c:spPr>
            <a:ln w="25400">
              <a:solidFill>
                <a:srgbClr val="92D050"/>
              </a:solidFill>
              <a:prstDash val="solid"/>
            </a:ln>
          </c:spPr>
          <c:marker>
            <c:symbol val="none"/>
          </c:marker>
          <c:cat>
            <c:strRef>
              <c:f>DATOS!$B$2:$AI$2</c:f>
              <c:strCache>
                <c:ptCount val="8"/>
                <c:pt idx="0">
                  <c:v>ENE-MAR 2013</c:v>
                </c:pt>
                <c:pt idx="1">
                  <c:v>ABR - JUN/2013</c:v>
                </c:pt>
                <c:pt idx="2">
                  <c:v>JUL-SEP/2013</c:v>
                </c:pt>
                <c:pt idx="3">
                  <c:v>OCT-DIC/2013</c:v>
                </c:pt>
                <c:pt idx="4">
                  <c:v>ENE-MAR 2014</c:v>
                </c:pt>
                <c:pt idx="5">
                  <c:v>ABR - JUN/2014</c:v>
                </c:pt>
                <c:pt idx="6">
                  <c:v>JUL-SEP/2014</c:v>
                </c:pt>
                <c:pt idx="7">
                  <c:v>OCT-DIC/2014</c:v>
                </c:pt>
              </c:strCache>
            </c:strRef>
          </c:cat>
          <c:val>
            <c:numRef>
              <c:f>DATOS!$B$4:$AI$4</c:f>
              <c:numCache>
                <c:formatCode>0.00</c:formatCode>
                <c:ptCount val="8"/>
                <c:pt idx="0">
                  <c:v>5</c:v>
                </c:pt>
                <c:pt idx="1">
                  <c:v>5</c:v>
                </c:pt>
                <c:pt idx="2">
                  <c:v>5</c:v>
                </c:pt>
                <c:pt idx="3">
                  <c:v>5</c:v>
                </c:pt>
                <c:pt idx="4">
                  <c:v>5</c:v>
                </c:pt>
                <c:pt idx="5">
                  <c:v>5</c:v>
                </c:pt>
                <c:pt idx="6">
                  <c:v>5</c:v>
                </c:pt>
                <c:pt idx="7">
                  <c:v>5</c:v>
                </c:pt>
              </c:numCache>
            </c:numRef>
          </c:val>
        </c:ser>
        <c:ser>
          <c:idx val="2"/>
          <c:order val="2"/>
          <c:tx>
            <c:strRef>
              <c:f>DATOS!$A$5</c:f>
              <c:strCache>
                <c:ptCount val="1"/>
                <c:pt idx="0">
                  <c:v>REGULAR</c:v>
                </c:pt>
              </c:strCache>
            </c:strRef>
          </c:tx>
          <c:spPr>
            <a:ln w="25400">
              <a:solidFill>
                <a:schemeClr val="tx2">
                  <a:lumMod val="60000"/>
                  <a:lumOff val="40000"/>
                </a:schemeClr>
              </a:solidFill>
              <a:prstDash val="solid"/>
            </a:ln>
          </c:spPr>
          <c:marker>
            <c:symbol val="none"/>
          </c:marker>
          <c:cat>
            <c:strRef>
              <c:f>DATOS!$B$2:$AI$2</c:f>
              <c:strCache>
                <c:ptCount val="8"/>
                <c:pt idx="0">
                  <c:v>ENE-MAR 2013</c:v>
                </c:pt>
                <c:pt idx="1">
                  <c:v>ABR - JUN/2013</c:v>
                </c:pt>
                <c:pt idx="2">
                  <c:v>JUL-SEP/2013</c:v>
                </c:pt>
                <c:pt idx="3">
                  <c:v>OCT-DIC/2013</c:v>
                </c:pt>
                <c:pt idx="4">
                  <c:v>ENE-MAR 2014</c:v>
                </c:pt>
                <c:pt idx="5">
                  <c:v>ABR - JUN/2014</c:v>
                </c:pt>
                <c:pt idx="6">
                  <c:v>JUL-SEP/2014</c:v>
                </c:pt>
                <c:pt idx="7">
                  <c:v>OCT-DIC/2014</c:v>
                </c:pt>
              </c:strCache>
            </c:strRef>
          </c:cat>
          <c:val>
            <c:numRef>
              <c:f>DATOS!$B$5:$AI$5</c:f>
              <c:numCache>
                <c:formatCode>0.00</c:formatCode>
                <c:ptCount val="8"/>
                <c:pt idx="0">
                  <c:v>4.5</c:v>
                </c:pt>
                <c:pt idx="1">
                  <c:v>4.5</c:v>
                </c:pt>
                <c:pt idx="2">
                  <c:v>4.5</c:v>
                </c:pt>
                <c:pt idx="3">
                  <c:v>4.5</c:v>
                </c:pt>
                <c:pt idx="4">
                  <c:v>4.5</c:v>
                </c:pt>
                <c:pt idx="5">
                  <c:v>4.5</c:v>
                </c:pt>
                <c:pt idx="6">
                  <c:v>4.5</c:v>
                </c:pt>
                <c:pt idx="7">
                  <c:v>4.5</c:v>
                </c:pt>
              </c:numCache>
            </c:numRef>
          </c:val>
        </c:ser>
        <c:ser>
          <c:idx val="3"/>
          <c:order val="3"/>
          <c:tx>
            <c:strRef>
              <c:f>DATOS!$A$6</c:f>
              <c:strCache>
                <c:ptCount val="1"/>
                <c:pt idx="0">
                  <c:v>DEFICIENTE</c:v>
                </c:pt>
              </c:strCache>
            </c:strRef>
          </c:tx>
          <c:spPr>
            <a:ln w="25400">
              <a:solidFill>
                <a:srgbClr val="FF0000"/>
              </a:solidFill>
              <a:prstDash val="solid"/>
            </a:ln>
          </c:spPr>
          <c:marker>
            <c:symbol val="none"/>
          </c:marker>
          <c:cat>
            <c:strRef>
              <c:f>DATOS!$B$2:$AI$2</c:f>
              <c:strCache>
                <c:ptCount val="8"/>
                <c:pt idx="0">
                  <c:v>ENE-MAR 2013</c:v>
                </c:pt>
                <c:pt idx="1">
                  <c:v>ABR - JUN/2013</c:v>
                </c:pt>
                <c:pt idx="2">
                  <c:v>JUL-SEP/2013</c:v>
                </c:pt>
                <c:pt idx="3">
                  <c:v>OCT-DIC/2013</c:v>
                </c:pt>
                <c:pt idx="4">
                  <c:v>ENE-MAR 2014</c:v>
                </c:pt>
                <c:pt idx="5">
                  <c:v>ABR - JUN/2014</c:v>
                </c:pt>
                <c:pt idx="6">
                  <c:v>JUL-SEP/2014</c:v>
                </c:pt>
                <c:pt idx="7">
                  <c:v>OCT-DIC/2014</c:v>
                </c:pt>
              </c:strCache>
            </c:strRef>
          </c:cat>
          <c:val>
            <c:numRef>
              <c:f>DATOS!$B$6:$AI$6</c:f>
              <c:numCache>
                <c:formatCode>0.00</c:formatCode>
                <c:ptCount val="8"/>
                <c:pt idx="0">
                  <c:v>3.5</c:v>
                </c:pt>
                <c:pt idx="1">
                  <c:v>3.5</c:v>
                </c:pt>
                <c:pt idx="2">
                  <c:v>3.5</c:v>
                </c:pt>
                <c:pt idx="3">
                  <c:v>3.5</c:v>
                </c:pt>
                <c:pt idx="4">
                  <c:v>3.5</c:v>
                </c:pt>
                <c:pt idx="5">
                  <c:v>3.5</c:v>
                </c:pt>
                <c:pt idx="6">
                  <c:v>3.5</c:v>
                </c:pt>
                <c:pt idx="7">
                  <c:v>3.5</c:v>
                </c:pt>
              </c:numCache>
            </c:numRef>
          </c:val>
        </c:ser>
        <c:marker val="1"/>
        <c:axId val="167938688"/>
        <c:axId val="168051072"/>
      </c:lineChart>
      <c:catAx>
        <c:axId val="167938688"/>
        <c:scaling>
          <c:orientation val="minMax"/>
        </c:scaling>
        <c:axPos val="b"/>
        <c:numFmt formatCode="_(* #,##0_);_(* \(#,##0\);_(* &quot;-&quot;_);_(@_)"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8051072"/>
        <c:crosses val="autoZero"/>
        <c:auto val="1"/>
        <c:lblAlgn val="ctr"/>
        <c:lblOffset val="100"/>
        <c:tickLblSkip val="1"/>
        <c:tickMarkSkip val="1"/>
      </c:catAx>
      <c:valAx>
        <c:axId val="168051072"/>
        <c:scaling>
          <c:orientation val="minMax"/>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7938688"/>
        <c:crosses val="autoZero"/>
        <c:crossBetween val="between"/>
      </c:valAx>
      <c:spPr>
        <a:noFill/>
        <a:ln w="25400">
          <a:noFill/>
        </a:ln>
      </c:spPr>
    </c:plotArea>
    <c:legend>
      <c:legendPos val="t"/>
      <c:layout>
        <c:manualLayout>
          <c:xMode val="edge"/>
          <c:yMode val="edge"/>
          <c:x val="0.75639449480579768"/>
          <c:y val="0.23962116385937196"/>
          <c:w val="0.20191115816405339"/>
          <c:h val="0.68078723169312705"/>
        </c:manualLayout>
      </c:layout>
      <c:spPr>
        <a:solidFill>
          <a:srgbClr val="FFFFFF"/>
        </a:solidFill>
        <a:ln w="25400">
          <a:noFill/>
        </a:ln>
      </c:spPr>
      <c:txPr>
        <a:bodyPr/>
        <a:lstStyle/>
        <a:p>
          <a:pPr>
            <a:defRPr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b="1"/>
            </a:pPr>
            <a:r>
              <a:rPr lang="es-CO" b="1"/>
              <a:t>% EFICIENCIA COBRO JURIDICO</a:t>
            </a:r>
          </a:p>
        </c:rich>
      </c:tx>
    </c:title>
    <c:plotArea>
      <c:layout>
        <c:manualLayout>
          <c:layoutTarget val="inner"/>
          <c:xMode val="edge"/>
          <c:yMode val="edge"/>
          <c:x val="0.13544668587896408"/>
          <c:y val="0.10648789184370799"/>
          <c:w val="0.58067542528054561"/>
          <c:h val="0.61138166691427764"/>
        </c:manualLayout>
      </c:layout>
      <c:barChart>
        <c:barDir val="col"/>
        <c:grouping val="clustered"/>
        <c:ser>
          <c:idx val="0"/>
          <c:order val="0"/>
          <c:tx>
            <c:strRef>
              <c:f>DATOS!$A$7</c:f>
              <c:strCache>
                <c:ptCount val="1"/>
                <c:pt idx="0">
                  <c:v>% EFICACIA COBRO JURIDICO</c:v>
                </c:pt>
              </c:strCache>
            </c:strRef>
          </c:tx>
          <c:spPr>
            <a:gradFill rotWithShape="0">
              <a:gsLst>
                <a:gs pos="0">
                  <a:srgbClr val="800000"/>
                </a:gs>
                <a:gs pos="50000">
                  <a:srgbClr val="3B0000"/>
                </a:gs>
                <a:gs pos="100000">
                  <a:srgbClr val="800000"/>
                </a:gs>
              </a:gsLst>
              <a:lin ang="5400000" scaled="1"/>
            </a:gradFill>
            <a:ln w="12700">
              <a:solidFill>
                <a:srgbClr val="000000"/>
              </a:solidFill>
              <a:prstDash val="solid"/>
            </a:ln>
          </c:spPr>
          <c:dLbls>
            <c:dLbl>
              <c:idx val="0"/>
              <c:layout>
                <c:manualLayout>
                  <c:x val="-4.4502326146322419E-3"/>
                  <c:y val="6.5684890803744001E-3"/>
                </c:manualLayout>
              </c:layout>
              <c:dLblPos val="outEnd"/>
              <c:showVal val="1"/>
            </c:dLbl>
            <c:dLbl>
              <c:idx val="2"/>
              <c:delete val="1"/>
            </c:dLbl>
            <c:dLbl>
              <c:idx val="3"/>
              <c:delete val="1"/>
            </c:dLbl>
            <c:dLbl>
              <c:idx val="4"/>
              <c:layout>
                <c:manualLayout>
                  <c:x val="-7.9395079157295947E-2"/>
                  <c:y val="9.4339622641508997E-3"/>
                </c:manualLayout>
              </c:layout>
              <c:numFmt formatCode="0%" sourceLinked="0"/>
              <c:spPr>
                <a:noFill/>
                <a:ln w="25400">
                  <a:noFill/>
                </a:ln>
              </c:spPr>
              <c:txPr>
                <a:bodyPr/>
                <a:lstStyle/>
                <a:p>
                  <a:pPr>
                    <a:defRPr sz="600" b="0" i="0" u="none" strike="noStrike" baseline="0">
                      <a:solidFill>
                        <a:srgbClr val="000000"/>
                      </a:solidFill>
                      <a:latin typeface="Arial"/>
                      <a:ea typeface="Arial"/>
                      <a:cs typeface="Arial"/>
                    </a:defRPr>
                  </a:pPr>
                  <a:endParaRPr lang="es-ES"/>
                </a:p>
              </c:txPr>
              <c:showVal val="1"/>
            </c:dLbl>
            <c:dLbl>
              <c:idx val="5"/>
              <c:layout>
                <c:manualLayout>
                  <c:x val="-7.1169561409168886E-2"/>
                  <c:y val="7.9430990937453851E-3"/>
                </c:manualLayout>
              </c:layout>
              <c:dLblPos val="outEnd"/>
              <c:showVal val="1"/>
            </c:dLbl>
            <c:dLbl>
              <c:idx val="6"/>
              <c:layout>
                <c:manualLayout>
                  <c:x val="-5.8075848200002257E-2"/>
                  <c:y val="1.4725523696330411E-2"/>
                </c:manualLayout>
              </c:layout>
              <c:dLblPos val="outEnd"/>
              <c:showVal val="1"/>
            </c:dLbl>
            <c:dLbl>
              <c:idx val="7"/>
              <c:layout>
                <c:manualLayout>
                  <c:x val="-4.0266433452924646E-2"/>
                  <c:y val="8.3030010399643764E-3"/>
                </c:manualLayout>
              </c:layout>
              <c:dLblPos val="outEnd"/>
              <c:showVal val="1"/>
            </c:dLbl>
            <c:dLbl>
              <c:idx val="8"/>
              <c:layout>
                <c:manualLayout>
                  <c:x val="0.14888899357806382"/>
                  <c:y val="-9.7273807755167007E-4"/>
                </c:manualLayout>
              </c:layout>
              <c:dLblPos val="outEnd"/>
              <c:showVal val="1"/>
            </c:dLbl>
            <c:dLbl>
              <c:idx val="9"/>
              <c:layout>
                <c:manualLayout>
                  <c:x val="4.1708315964729466E-2"/>
                  <c:y val="-9.7273807755167007E-4"/>
                </c:manualLayout>
              </c:layout>
              <c:dLblPos val="outEnd"/>
              <c:showVal val="1"/>
            </c:dLbl>
            <c:dLbl>
              <c:idx val="10"/>
              <c:layout>
                <c:manualLayout>
                  <c:x val="-0.11058600311194768"/>
                  <c:y val="4.7169811320754282E-3"/>
                </c:manualLayout>
              </c:layout>
              <c:dLblPos val="outEnd"/>
              <c:showVal val="1"/>
            </c:dLbl>
            <c:dLbl>
              <c:idx val="11"/>
              <c:layout>
                <c:manualLayout>
                  <c:x val="-9.9243848946619972E-2"/>
                  <c:y val="-4.3238494215917356E-17"/>
                </c:manualLayout>
              </c:layout>
              <c:dLblPos val="outEnd"/>
              <c:showVal val="1"/>
            </c:dLbl>
            <c:dLbl>
              <c:idx val="12"/>
              <c:layout>
                <c:manualLayout>
                  <c:xMode val="edge"/>
                  <c:yMode val="edge"/>
                  <c:x val="0.48414985590778131"/>
                  <c:y val="0.54109679523088905"/>
                </c:manualLayout>
              </c:layout>
              <c:dLblPos val="outEnd"/>
              <c:showVal val="1"/>
            </c:dLbl>
            <c:dLbl>
              <c:idx val="13"/>
              <c:layout>
                <c:manualLayout>
                  <c:xMode val="edge"/>
                  <c:yMode val="edge"/>
                  <c:x val="0.55907780979827104"/>
                  <c:y val="0.54109679523088905"/>
                </c:manualLayout>
              </c:layout>
              <c:dLblPos val="outEnd"/>
              <c:showVal val="1"/>
            </c:dLbl>
            <c:dLbl>
              <c:idx val="14"/>
              <c:layout>
                <c:manualLayout>
                  <c:xMode val="edge"/>
                  <c:yMode val="edge"/>
                  <c:x val="0.51296829971181557"/>
                  <c:y val="0.61643938697189904"/>
                </c:manualLayout>
              </c:layout>
              <c:dLblPos val="outEnd"/>
              <c:showVal val="1"/>
            </c:dLbl>
            <c:dLbl>
              <c:idx val="15"/>
              <c:layout>
                <c:manualLayout>
                  <c:xMode val="edge"/>
                  <c:yMode val="edge"/>
                  <c:x val="0.63400576368876405"/>
                  <c:y val="0.21917844870112102"/>
                </c:manualLayout>
              </c:layout>
              <c:dLblPos val="outEnd"/>
              <c:showVal val="1"/>
            </c:dLbl>
            <c:dLbl>
              <c:idx val="16"/>
              <c:layout>
                <c:manualLayout>
                  <c:xMode val="edge"/>
                  <c:yMode val="edge"/>
                  <c:x val="0.60230547550432556"/>
                  <c:y val="0.29452104044212879"/>
                </c:manualLayout>
              </c:layout>
              <c:dLblPos val="outEnd"/>
              <c:showVal val="1"/>
            </c:dLbl>
            <c:dLbl>
              <c:idx val="17"/>
              <c:layout>
                <c:manualLayout>
                  <c:xMode val="edge"/>
                  <c:yMode val="edge"/>
                  <c:x val="0.67723342939481568"/>
                  <c:y val="0.29109637718117432"/>
                </c:manualLayout>
              </c:layout>
              <c:dLblPos val="outEnd"/>
              <c:showVal val="1"/>
            </c:dLbl>
            <c:dLbl>
              <c:idx val="18"/>
              <c:layout>
                <c:manualLayout>
                  <c:xMode val="edge"/>
                  <c:yMode val="edge"/>
                  <c:x val="0.71181556195965356"/>
                  <c:y val="0.222603111962075"/>
                </c:manualLayout>
              </c:layout>
              <c:dLblPos val="outEnd"/>
              <c:showVal val="1"/>
            </c:dLbl>
            <c:dLbl>
              <c:idx val="19"/>
              <c:layout>
                <c:manualLayout>
                  <c:xMode val="edge"/>
                  <c:yMode val="edge"/>
                  <c:x val="0.74927953890490062"/>
                  <c:y val="0.273973060876399"/>
                </c:manualLayout>
              </c:layout>
              <c:dLblPos val="outEnd"/>
              <c:showVal val="1"/>
            </c:dLbl>
            <c:numFmt formatCode="0%" sourceLinked="0"/>
            <c:spPr>
              <a:noFill/>
              <a:ln w="25400">
                <a:noFill/>
              </a:ln>
            </c:spPr>
            <c:txPr>
              <a:bodyPr/>
              <a:lstStyle/>
              <a:p>
                <a:pPr>
                  <a:defRPr sz="600" b="1" i="0" u="none" strike="noStrike" baseline="0">
                    <a:solidFill>
                      <a:srgbClr val="000000"/>
                    </a:solidFill>
                    <a:latin typeface="Arial"/>
                    <a:ea typeface="Arial"/>
                    <a:cs typeface="Arial"/>
                  </a:defRPr>
                </a:pPr>
                <a:endParaRPr lang="es-ES"/>
              </a:p>
            </c:txPr>
            <c:showVal val="1"/>
          </c:dLbls>
          <c:cat>
            <c:strRef>
              <c:f>DATOS!$B$6:$M$6</c:f>
              <c:strCache>
                <c:ptCount val="12"/>
                <c:pt idx="0">
                  <c:v>ENE-MAR/2012</c:v>
                </c:pt>
                <c:pt idx="1">
                  <c:v>ABR-JUN/2012</c:v>
                </c:pt>
                <c:pt idx="2">
                  <c:v>JUL-SEP/2012</c:v>
                </c:pt>
                <c:pt idx="3">
                  <c:v>OCT-DIC/2012</c:v>
                </c:pt>
                <c:pt idx="4">
                  <c:v>ENE-MAR/2013</c:v>
                </c:pt>
                <c:pt idx="5">
                  <c:v>ABR - JUN /2013</c:v>
                </c:pt>
                <c:pt idx="6">
                  <c:v>JUL - SEPT /2013</c:v>
                </c:pt>
                <c:pt idx="7">
                  <c:v>OCT - DIC /2013</c:v>
                </c:pt>
                <c:pt idx="8">
                  <c:v>ENE - FEB - MAR /2014</c:v>
                </c:pt>
                <c:pt idx="9">
                  <c:v>ABR - MAY - JUN /2014</c:v>
                </c:pt>
                <c:pt idx="10">
                  <c:v>JUL - AGO -SEPT /2014</c:v>
                </c:pt>
                <c:pt idx="11">
                  <c:v>OCT - NOV - DIC /2014</c:v>
                </c:pt>
              </c:strCache>
            </c:strRef>
          </c:cat>
          <c:val>
            <c:numRef>
              <c:f>DATOS!$B$7:$M$7</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gapWidth val="50"/>
        <c:axId val="168103936"/>
        <c:axId val="168105472"/>
      </c:barChart>
      <c:lineChart>
        <c:grouping val="standard"/>
        <c:ser>
          <c:idx val="1"/>
          <c:order val="1"/>
          <c:tx>
            <c:strRef>
              <c:f>DATOS!$A$8</c:f>
              <c:strCache>
                <c:ptCount val="1"/>
                <c:pt idx="0">
                  <c:v>EXCELENTE</c:v>
                </c:pt>
              </c:strCache>
            </c:strRef>
          </c:tx>
          <c:spPr>
            <a:ln w="25400">
              <a:solidFill>
                <a:srgbClr val="339966"/>
              </a:solidFill>
              <a:prstDash val="solid"/>
            </a:ln>
          </c:spPr>
          <c:marker>
            <c:symbol val="none"/>
          </c:marker>
          <c:cat>
            <c:strRef>
              <c:f>DATOS!$B$6:$M$6</c:f>
              <c:strCache>
                <c:ptCount val="12"/>
                <c:pt idx="0">
                  <c:v>ENE-MAR/2012</c:v>
                </c:pt>
                <c:pt idx="1">
                  <c:v>ABR-JUN/2012</c:v>
                </c:pt>
                <c:pt idx="2">
                  <c:v>JUL-SEP/2012</c:v>
                </c:pt>
                <c:pt idx="3">
                  <c:v>OCT-DIC/2012</c:v>
                </c:pt>
                <c:pt idx="4">
                  <c:v>ENE-MAR/2013</c:v>
                </c:pt>
                <c:pt idx="5">
                  <c:v>ABR - JUN /2013</c:v>
                </c:pt>
                <c:pt idx="6">
                  <c:v>JUL - SEPT /2013</c:v>
                </c:pt>
                <c:pt idx="7">
                  <c:v>OCT - DIC /2013</c:v>
                </c:pt>
                <c:pt idx="8">
                  <c:v>ENE - FEB - MAR /2014</c:v>
                </c:pt>
                <c:pt idx="9">
                  <c:v>ABR - MAY - JUN /2014</c:v>
                </c:pt>
                <c:pt idx="10">
                  <c:v>JUL - AGO -SEPT /2014</c:v>
                </c:pt>
                <c:pt idx="11">
                  <c:v>OCT - NOV - DIC /2014</c:v>
                </c:pt>
              </c:strCache>
            </c:strRef>
          </c:cat>
          <c:val>
            <c:numRef>
              <c:f>DATOS!$B$8:$M$8</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ser>
          <c:idx val="2"/>
          <c:order val="2"/>
          <c:tx>
            <c:strRef>
              <c:f>DATOS!$A$9</c:f>
              <c:strCache>
                <c:ptCount val="1"/>
                <c:pt idx="0">
                  <c:v>REGULAR</c:v>
                </c:pt>
              </c:strCache>
            </c:strRef>
          </c:tx>
          <c:spPr>
            <a:ln w="25400">
              <a:solidFill>
                <a:srgbClr val="00ABEA"/>
              </a:solidFill>
              <a:prstDash val="solid"/>
            </a:ln>
          </c:spPr>
          <c:marker>
            <c:symbol val="none"/>
          </c:marker>
          <c:cat>
            <c:strRef>
              <c:f>DATOS!$B$6:$M$6</c:f>
              <c:strCache>
                <c:ptCount val="12"/>
                <c:pt idx="0">
                  <c:v>ENE-MAR/2012</c:v>
                </c:pt>
                <c:pt idx="1">
                  <c:v>ABR-JUN/2012</c:v>
                </c:pt>
                <c:pt idx="2">
                  <c:v>JUL-SEP/2012</c:v>
                </c:pt>
                <c:pt idx="3">
                  <c:v>OCT-DIC/2012</c:v>
                </c:pt>
                <c:pt idx="4">
                  <c:v>ENE-MAR/2013</c:v>
                </c:pt>
                <c:pt idx="5">
                  <c:v>ABR - JUN /2013</c:v>
                </c:pt>
                <c:pt idx="6">
                  <c:v>JUL - SEPT /2013</c:v>
                </c:pt>
                <c:pt idx="7">
                  <c:v>OCT - DIC /2013</c:v>
                </c:pt>
                <c:pt idx="8">
                  <c:v>ENE - FEB - MAR /2014</c:v>
                </c:pt>
                <c:pt idx="9">
                  <c:v>ABR - MAY - JUN /2014</c:v>
                </c:pt>
                <c:pt idx="10">
                  <c:v>JUL - AGO -SEPT /2014</c:v>
                </c:pt>
                <c:pt idx="11">
                  <c:v>OCT - NOV - DIC /2014</c:v>
                </c:pt>
              </c:strCache>
            </c:strRef>
          </c:cat>
          <c:val>
            <c:numRef>
              <c:f>DATOS!$B$9:$M$9</c:f>
              <c:numCache>
                <c:formatCode>0%</c:formatCode>
                <c:ptCount val="12"/>
                <c:pt idx="0">
                  <c:v>0.8</c:v>
                </c:pt>
                <c:pt idx="1">
                  <c:v>0.8</c:v>
                </c:pt>
                <c:pt idx="2">
                  <c:v>0.8</c:v>
                </c:pt>
                <c:pt idx="3">
                  <c:v>0.8</c:v>
                </c:pt>
                <c:pt idx="4">
                  <c:v>0.8</c:v>
                </c:pt>
                <c:pt idx="5">
                  <c:v>0.8</c:v>
                </c:pt>
                <c:pt idx="6">
                  <c:v>0.8</c:v>
                </c:pt>
                <c:pt idx="7">
                  <c:v>0.8</c:v>
                </c:pt>
                <c:pt idx="8">
                  <c:v>0.8</c:v>
                </c:pt>
                <c:pt idx="9">
                  <c:v>0.8</c:v>
                </c:pt>
                <c:pt idx="10">
                  <c:v>0.8</c:v>
                </c:pt>
                <c:pt idx="11">
                  <c:v>0.8</c:v>
                </c:pt>
              </c:numCache>
            </c:numRef>
          </c:val>
        </c:ser>
        <c:ser>
          <c:idx val="3"/>
          <c:order val="3"/>
          <c:tx>
            <c:strRef>
              <c:f>DATOS!$A$10</c:f>
              <c:strCache>
                <c:ptCount val="1"/>
                <c:pt idx="0">
                  <c:v>DEFICIENTE</c:v>
                </c:pt>
              </c:strCache>
            </c:strRef>
          </c:tx>
          <c:spPr>
            <a:ln w="25400">
              <a:solidFill>
                <a:srgbClr val="DD0806"/>
              </a:solidFill>
              <a:prstDash val="solid"/>
            </a:ln>
          </c:spPr>
          <c:marker>
            <c:symbol val="none"/>
          </c:marker>
          <c:cat>
            <c:strRef>
              <c:f>DATOS!$B$6:$M$6</c:f>
              <c:strCache>
                <c:ptCount val="12"/>
                <c:pt idx="0">
                  <c:v>ENE-MAR/2012</c:v>
                </c:pt>
                <c:pt idx="1">
                  <c:v>ABR-JUN/2012</c:v>
                </c:pt>
                <c:pt idx="2">
                  <c:v>JUL-SEP/2012</c:v>
                </c:pt>
                <c:pt idx="3">
                  <c:v>OCT-DIC/2012</c:v>
                </c:pt>
                <c:pt idx="4">
                  <c:v>ENE-MAR/2013</c:v>
                </c:pt>
                <c:pt idx="5">
                  <c:v>ABR - JUN /2013</c:v>
                </c:pt>
                <c:pt idx="6">
                  <c:v>JUL - SEPT /2013</c:v>
                </c:pt>
                <c:pt idx="7">
                  <c:v>OCT - DIC /2013</c:v>
                </c:pt>
                <c:pt idx="8">
                  <c:v>ENE - FEB - MAR /2014</c:v>
                </c:pt>
                <c:pt idx="9">
                  <c:v>ABR - MAY - JUN /2014</c:v>
                </c:pt>
                <c:pt idx="10">
                  <c:v>JUL - AGO -SEPT /2014</c:v>
                </c:pt>
                <c:pt idx="11">
                  <c:v>OCT - NOV - DIC /2014</c:v>
                </c:pt>
              </c:strCache>
            </c:strRef>
          </c:cat>
          <c:val>
            <c:numRef>
              <c:f>DATOS!$B$10:$M$10</c:f>
              <c:numCache>
                <c:formatCode>0%</c:formatCode>
                <c:ptCount val="12"/>
                <c:pt idx="0">
                  <c:v>0.60000000000000064</c:v>
                </c:pt>
                <c:pt idx="1">
                  <c:v>0.60000000000000064</c:v>
                </c:pt>
                <c:pt idx="2">
                  <c:v>0.60000000000000064</c:v>
                </c:pt>
                <c:pt idx="3">
                  <c:v>0.60000000000000064</c:v>
                </c:pt>
                <c:pt idx="4">
                  <c:v>0.60000000000000064</c:v>
                </c:pt>
                <c:pt idx="5">
                  <c:v>0.60000000000000064</c:v>
                </c:pt>
                <c:pt idx="6">
                  <c:v>0.60000000000000064</c:v>
                </c:pt>
                <c:pt idx="7">
                  <c:v>0.60000000000000064</c:v>
                </c:pt>
                <c:pt idx="8">
                  <c:v>0.60000000000000064</c:v>
                </c:pt>
                <c:pt idx="9">
                  <c:v>0.60000000000000064</c:v>
                </c:pt>
                <c:pt idx="10">
                  <c:v>0.60000000000000064</c:v>
                </c:pt>
                <c:pt idx="11">
                  <c:v>0.60000000000000064</c:v>
                </c:pt>
              </c:numCache>
            </c:numRef>
          </c:val>
        </c:ser>
        <c:marker val="1"/>
        <c:axId val="168103936"/>
        <c:axId val="168105472"/>
      </c:lineChart>
      <c:catAx>
        <c:axId val="168103936"/>
        <c:scaling>
          <c:orientation val="minMax"/>
        </c:scaling>
        <c:axPos val="b"/>
        <c:numFmt formatCode="mmm\-yy" sourceLinked="1"/>
        <c:tickLblPos val="nextTo"/>
        <c:spPr>
          <a:ln w="3175">
            <a:solidFill>
              <a:srgbClr val="000000"/>
            </a:solidFill>
            <a:prstDash val="solid"/>
          </a:ln>
        </c:spPr>
        <c:txPr>
          <a:bodyPr rot="-5400000" vert="horz"/>
          <a:lstStyle/>
          <a:p>
            <a:pPr>
              <a:defRPr sz="600" b="1" i="0" u="none" strike="noStrike" baseline="0">
                <a:solidFill>
                  <a:srgbClr val="000000"/>
                </a:solidFill>
                <a:latin typeface="Arial"/>
                <a:ea typeface="Arial"/>
                <a:cs typeface="Arial"/>
              </a:defRPr>
            </a:pPr>
            <a:endParaRPr lang="es-ES"/>
          </a:p>
        </c:txPr>
        <c:crossAx val="168105472"/>
        <c:crosses val="autoZero"/>
        <c:lblAlgn val="ctr"/>
        <c:lblOffset val="100"/>
        <c:tickLblSkip val="1"/>
        <c:tickMarkSkip val="1"/>
      </c:catAx>
      <c:valAx>
        <c:axId val="168105472"/>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103936"/>
        <c:crosses val="autoZero"/>
        <c:crossBetween val="between"/>
        <c:minorUnit val="0.1"/>
      </c:valAx>
      <c:spPr>
        <a:noFill/>
        <a:ln w="25400">
          <a:noFill/>
        </a:ln>
      </c:spPr>
    </c:plotArea>
    <c:legend>
      <c:legendPos val="r"/>
      <c:layout>
        <c:manualLayout>
          <c:xMode val="edge"/>
          <c:yMode val="edge"/>
          <c:x val="0.70951671482988887"/>
          <c:y val="0.21632892586539917"/>
          <c:w val="0.26091263705754236"/>
          <c:h val="0.71713378398454919"/>
        </c:manualLayout>
      </c:layout>
      <c:spPr>
        <a:solidFill>
          <a:srgbClr val="FFFFFF"/>
        </a:solidFill>
        <a:ln w="25400">
          <a:noFill/>
        </a:ln>
      </c:spPr>
      <c:txPr>
        <a:bodyPr/>
        <a:lstStyle/>
        <a:p>
          <a:pPr>
            <a:defRPr sz="62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 EFICACIA ELABORACION</a:t>
            </a:r>
            <a:r>
              <a:rPr lang="es-CO" sz="1400" b="1" baseline="0"/>
              <a:t> DE CONTRATOS SEGUN PLAN DE COMPRAS</a:t>
            </a:r>
            <a:endParaRPr lang="es-CO" sz="1400" b="1"/>
          </a:p>
        </c:rich>
      </c:tx>
    </c:title>
    <c:plotArea>
      <c:layout>
        <c:manualLayout>
          <c:layoutTarget val="inner"/>
          <c:xMode val="edge"/>
          <c:yMode val="edge"/>
          <c:x val="0.100000113553908"/>
          <c:y val="0.149006622516556"/>
          <c:w val="0.6884578827665836"/>
          <c:h val="0.62913907284768456"/>
        </c:manualLayout>
      </c:layout>
      <c:barChart>
        <c:barDir val="col"/>
        <c:grouping val="clustered"/>
        <c:ser>
          <c:idx val="0"/>
          <c:order val="0"/>
          <c:tx>
            <c:strRef>
              <c:f>DATOS!$A$15</c:f>
              <c:strCache>
                <c:ptCount val="1"/>
                <c:pt idx="0">
                  <c:v>% EFICACIA ELABORACION DE CONTRATOS SEGUN PLAN DE COMPRAS</c:v>
                </c:pt>
              </c:strCache>
            </c:strRef>
          </c:tx>
          <c:spPr>
            <a:solidFill>
              <a:srgbClr val="4F81BD"/>
            </a:solidFill>
            <a:ln w="25400">
              <a:noFill/>
            </a:ln>
          </c:spPr>
          <c:dLbls>
            <c:dLbl>
              <c:idx val="0"/>
              <c:layout>
                <c:manualLayout>
                  <c:x val="7.6433269287445134E-3"/>
                  <c:y val="-2.7886553207845301E-2"/>
                </c:manualLayout>
              </c:layout>
              <c:dLblPos val="outEnd"/>
              <c:showVal val="1"/>
            </c:dLbl>
            <c:dLbl>
              <c:idx val="1"/>
              <c:layout>
                <c:manualLayout>
                  <c:x val="-2.3201900504245063E-3"/>
                  <c:y val="1.4851123741982671E-2"/>
                </c:manualLayout>
              </c:layout>
              <c:dLblPos val="outEnd"/>
              <c:showVal val="1"/>
            </c:dLbl>
            <c:dLbl>
              <c:idx val="3"/>
              <c:layout>
                <c:manualLayout>
                  <c:x val="-3.8628620450709612E-3"/>
                  <c:y val="1.1173743468982283E-2"/>
                </c:manualLayout>
              </c:layout>
              <c:dLblPos val="outEnd"/>
              <c:showVal val="1"/>
            </c:dLbl>
            <c:dLbl>
              <c:idx val="4"/>
              <c:layout>
                <c:manualLayout>
                  <c:x val="0.22141570373254241"/>
                  <c:y val="1.139598204430054E-2"/>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5"/>
              <c:layout>
                <c:manualLayout>
                  <c:x val="-6.4242718400608453E-2"/>
                  <c:y val="1.1272352638163244E-2"/>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6"/>
              <c:layout>
                <c:manualLayout>
                  <c:x val="-6.0734510114845902E-2"/>
                  <c:y val="1.2509382588858635E-2"/>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7"/>
              <c:layout>
                <c:manualLayout>
                  <c:x val="-3.7657467776465313E-3"/>
                  <c:y val="1.3967915225550121E-2"/>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8"/>
              <c:layout>
                <c:manualLayout>
                  <c:x val="-0.12215507176409122"/>
                  <c:y val="1.1904113621311335E-2"/>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9"/>
              <c:layout>
                <c:manualLayout>
                  <c:x val="6.472958673685382E-2"/>
                  <c:y val="-6.787475163735417E-3"/>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0"/>
              <c:layout>
                <c:manualLayout>
                  <c:x val="-5.6444642359569377E-2"/>
                  <c:y val="7.2312164250496556E-3"/>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1"/>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2"/>
              <c:layout>
                <c:manualLayout>
                  <c:xMode val="edge"/>
                  <c:yMode val="edge"/>
                  <c:x val="0.45161408878866632"/>
                  <c:y val="0.54295714856216559"/>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3"/>
              <c:layout>
                <c:manualLayout>
                  <c:xMode val="edge"/>
                  <c:yMode val="edge"/>
                  <c:x val="0.52150674538690645"/>
                  <c:y val="0.54295714856216559"/>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4"/>
              <c:layout>
                <c:manualLayout>
                  <c:xMode val="edge"/>
                  <c:yMode val="edge"/>
                  <c:x val="0.47849587978799252"/>
                  <c:y val="0.618558776842974"/>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5"/>
              <c:layout>
                <c:manualLayout>
                  <c:xMode val="edge"/>
                  <c:yMode val="edge"/>
                  <c:x val="0.5913994019851565"/>
                  <c:y val="0.21993200954417019"/>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6"/>
              <c:layout>
                <c:manualLayout>
                  <c:xMode val="edge"/>
                  <c:yMode val="edge"/>
                  <c:x val="0.56182943188590062"/>
                  <c:y val="0.29553363782497732"/>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7"/>
              <c:layout>
                <c:manualLayout>
                  <c:xMode val="edge"/>
                  <c:yMode val="edge"/>
                  <c:x val="0.63172208848414768"/>
                  <c:y val="0.29209720017585022"/>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8"/>
              <c:layout>
                <c:manualLayout>
                  <c:xMode val="edge"/>
                  <c:yMode val="edge"/>
                  <c:x val="0.66398023768334125"/>
                  <c:y val="0.22336844719329696"/>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dLbl>
              <c:idx val="19"/>
              <c:layout>
                <c:manualLayout>
                  <c:xMode val="edge"/>
                  <c:yMode val="edge"/>
                  <c:x val="0.69892656598245495"/>
                  <c:y val="0.27491501193021234"/>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dLblPos val="outEnd"/>
              <c:showVal val="1"/>
            </c:dLbl>
            <c:numFmt formatCode="0%" sourceLinked="0"/>
            <c:spPr>
              <a:noFill/>
              <a:ln w="25400">
                <a:noFill/>
              </a:ln>
            </c:spPr>
            <c:txPr>
              <a:bodyPr/>
              <a:lstStyle/>
              <a:p>
                <a:pPr>
                  <a:defRPr sz="9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DATOS!$B$14:$M$14</c:f>
              <c:strCache>
                <c:ptCount val="12"/>
                <c:pt idx="0">
                  <c:v>ENE-MAR/2012</c:v>
                </c:pt>
                <c:pt idx="1">
                  <c:v>ABR-JUN/2012</c:v>
                </c:pt>
                <c:pt idx="2">
                  <c:v>JUL-SEP/2012</c:v>
                </c:pt>
                <c:pt idx="3">
                  <c:v>OCT-DIC/2012</c:v>
                </c:pt>
                <c:pt idx="4">
                  <c:v>ENE-MAR/2013</c:v>
                </c:pt>
                <c:pt idx="5">
                  <c:v>ABR - JUN /2013</c:v>
                </c:pt>
                <c:pt idx="6">
                  <c:v>JUL - SEPT /2013</c:v>
                </c:pt>
                <c:pt idx="7">
                  <c:v>OCT - DIC /2013</c:v>
                </c:pt>
                <c:pt idx="8">
                  <c:v>ENE - FEB - MAR /2014</c:v>
                </c:pt>
                <c:pt idx="9">
                  <c:v>ABR - MAY - JUN /2014</c:v>
                </c:pt>
                <c:pt idx="10">
                  <c:v>JUL - AGO -SEPT /2014</c:v>
                </c:pt>
                <c:pt idx="11">
                  <c:v>OCT - NOV - DIC /2014</c:v>
                </c:pt>
              </c:strCache>
            </c:strRef>
          </c:cat>
          <c:val>
            <c:numRef>
              <c:f>DATOS!$B$15:$M$15</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gapWidth val="70"/>
        <c:axId val="168217984"/>
        <c:axId val="167511168"/>
      </c:barChart>
      <c:lineChart>
        <c:grouping val="standard"/>
        <c:ser>
          <c:idx val="1"/>
          <c:order val="1"/>
          <c:tx>
            <c:strRef>
              <c:f>DATOS!$A$16</c:f>
              <c:strCache>
                <c:ptCount val="1"/>
                <c:pt idx="0">
                  <c:v>EXCELENTE</c:v>
                </c:pt>
              </c:strCache>
            </c:strRef>
          </c:tx>
          <c:spPr>
            <a:ln w="25400">
              <a:solidFill>
                <a:srgbClr val="339966"/>
              </a:solidFill>
              <a:prstDash val="solid"/>
            </a:ln>
          </c:spPr>
          <c:marker>
            <c:symbol val="none"/>
          </c:marker>
          <c:cat>
            <c:strRef>
              <c:f>DATOS!$B$14:$M$14</c:f>
              <c:strCache>
                <c:ptCount val="12"/>
                <c:pt idx="0">
                  <c:v>ENE-MAR/2012</c:v>
                </c:pt>
                <c:pt idx="1">
                  <c:v>ABR-JUN/2012</c:v>
                </c:pt>
                <c:pt idx="2">
                  <c:v>JUL-SEP/2012</c:v>
                </c:pt>
                <c:pt idx="3">
                  <c:v>OCT-DIC/2012</c:v>
                </c:pt>
                <c:pt idx="4">
                  <c:v>ENE-MAR/2013</c:v>
                </c:pt>
                <c:pt idx="5">
                  <c:v>ABR - JUN /2013</c:v>
                </c:pt>
                <c:pt idx="6">
                  <c:v>JUL - SEPT /2013</c:v>
                </c:pt>
                <c:pt idx="7">
                  <c:v>OCT - DIC /2013</c:v>
                </c:pt>
                <c:pt idx="8">
                  <c:v>ENE - FEB - MAR /2014</c:v>
                </c:pt>
                <c:pt idx="9">
                  <c:v>ABR - MAY - JUN /2014</c:v>
                </c:pt>
                <c:pt idx="10">
                  <c:v>JUL - AGO -SEPT /2014</c:v>
                </c:pt>
                <c:pt idx="11">
                  <c:v>OCT - NOV - DIC /2014</c:v>
                </c:pt>
              </c:strCache>
            </c:strRef>
          </c:cat>
          <c:val>
            <c:numRef>
              <c:f>DATOS!$B$16:$M$16</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ser>
          <c:idx val="2"/>
          <c:order val="2"/>
          <c:tx>
            <c:strRef>
              <c:f>DATOS!$A$17</c:f>
              <c:strCache>
                <c:ptCount val="1"/>
                <c:pt idx="0">
                  <c:v>REGULAR</c:v>
                </c:pt>
              </c:strCache>
            </c:strRef>
          </c:tx>
          <c:spPr>
            <a:ln w="25400">
              <a:solidFill>
                <a:srgbClr val="00ABEA"/>
              </a:solidFill>
              <a:prstDash val="solid"/>
            </a:ln>
          </c:spPr>
          <c:marker>
            <c:symbol val="none"/>
          </c:marker>
          <c:cat>
            <c:strRef>
              <c:f>DATOS!$B$14:$M$14</c:f>
              <c:strCache>
                <c:ptCount val="12"/>
                <c:pt idx="0">
                  <c:v>ENE-MAR/2012</c:v>
                </c:pt>
                <c:pt idx="1">
                  <c:v>ABR-JUN/2012</c:v>
                </c:pt>
                <c:pt idx="2">
                  <c:v>JUL-SEP/2012</c:v>
                </c:pt>
                <c:pt idx="3">
                  <c:v>OCT-DIC/2012</c:v>
                </c:pt>
                <c:pt idx="4">
                  <c:v>ENE-MAR/2013</c:v>
                </c:pt>
                <c:pt idx="5">
                  <c:v>ABR - JUN /2013</c:v>
                </c:pt>
                <c:pt idx="6">
                  <c:v>JUL - SEPT /2013</c:v>
                </c:pt>
                <c:pt idx="7">
                  <c:v>OCT - DIC /2013</c:v>
                </c:pt>
                <c:pt idx="8">
                  <c:v>ENE - FEB - MAR /2014</c:v>
                </c:pt>
                <c:pt idx="9">
                  <c:v>ABR - MAY - JUN /2014</c:v>
                </c:pt>
                <c:pt idx="10">
                  <c:v>JUL - AGO -SEPT /2014</c:v>
                </c:pt>
                <c:pt idx="11">
                  <c:v>OCT - NOV - DIC /2014</c:v>
                </c:pt>
              </c:strCache>
            </c:strRef>
          </c:cat>
          <c:val>
            <c:numRef>
              <c:f>DATOS!$B$17:$M$17</c:f>
              <c:numCache>
                <c:formatCode>0%</c:formatCode>
                <c:ptCount val="12"/>
                <c:pt idx="0">
                  <c:v>0.8</c:v>
                </c:pt>
                <c:pt idx="1">
                  <c:v>0.8</c:v>
                </c:pt>
                <c:pt idx="2">
                  <c:v>0.8</c:v>
                </c:pt>
                <c:pt idx="3">
                  <c:v>0.8</c:v>
                </c:pt>
                <c:pt idx="4">
                  <c:v>0.8</c:v>
                </c:pt>
                <c:pt idx="5">
                  <c:v>0.8</c:v>
                </c:pt>
                <c:pt idx="6">
                  <c:v>0.8</c:v>
                </c:pt>
                <c:pt idx="7">
                  <c:v>0.8</c:v>
                </c:pt>
                <c:pt idx="8">
                  <c:v>0.8</c:v>
                </c:pt>
                <c:pt idx="9">
                  <c:v>0.8</c:v>
                </c:pt>
                <c:pt idx="10">
                  <c:v>0.8</c:v>
                </c:pt>
                <c:pt idx="11">
                  <c:v>0.8</c:v>
                </c:pt>
              </c:numCache>
            </c:numRef>
          </c:val>
        </c:ser>
        <c:ser>
          <c:idx val="3"/>
          <c:order val="3"/>
          <c:tx>
            <c:strRef>
              <c:f>DATOS!$A$18</c:f>
              <c:strCache>
                <c:ptCount val="1"/>
                <c:pt idx="0">
                  <c:v>DEFICIENTE</c:v>
                </c:pt>
              </c:strCache>
            </c:strRef>
          </c:tx>
          <c:spPr>
            <a:ln w="25400">
              <a:solidFill>
                <a:srgbClr val="DD0806"/>
              </a:solidFill>
              <a:prstDash val="solid"/>
            </a:ln>
          </c:spPr>
          <c:marker>
            <c:symbol val="none"/>
          </c:marker>
          <c:cat>
            <c:strRef>
              <c:f>DATOS!$B$14:$M$14</c:f>
              <c:strCache>
                <c:ptCount val="12"/>
                <c:pt idx="0">
                  <c:v>ENE-MAR/2012</c:v>
                </c:pt>
                <c:pt idx="1">
                  <c:v>ABR-JUN/2012</c:v>
                </c:pt>
                <c:pt idx="2">
                  <c:v>JUL-SEP/2012</c:v>
                </c:pt>
                <c:pt idx="3">
                  <c:v>OCT-DIC/2012</c:v>
                </c:pt>
                <c:pt idx="4">
                  <c:v>ENE-MAR/2013</c:v>
                </c:pt>
                <c:pt idx="5">
                  <c:v>ABR - JUN /2013</c:v>
                </c:pt>
                <c:pt idx="6">
                  <c:v>JUL - SEPT /2013</c:v>
                </c:pt>
                <c:pt idx="7">
                  <c:v>OCT - DIC /2013</c:v>
                </c:pt>
                <c:pt idx="8">
                  <c:v>ENE - FEB - MAR /2014</c:v>
                </c:pt>
                <c:pt idx="9">
                  <c:v>ABR - MAY - JUN /2014</c:v>
                </c:pt>
                <c:pt idx="10">
                  <c:v>JUL - AGO -SEPT /2014</c:v>
                </c:pt>
                <c:pt idx="11">
                  <c:v>OCT - NOV - DIC /2014</c:v>
                </c:pt>
              </c:strCache>
            </c:strRef>
          </c:cat>
          <c:val>
            <c:numRef>
              <c:f>DATOS!$B$18:$M$18</c:f>
              <c:numCache>
                <c:formatCode>0%</c:formatCode>
                <c:ptCount val="12"/>
                <c:pt idx="0">
                  <c:v>0.60000000000000064</c:v>
                </c:pt>
                <c:pt idx="1">
                  <c:v>0.60000000000000064</c:v>
                </c:pt>
                <c:pt idx="2">
                  <c:v>0.60000000000000064</c:v>
                </c:pt>
                <c:pt idx="3">
                  <c:v>0.60000000000000064</c:v>
                </c:pt>
                <c:pt idx="4">
                  <c:v>0.60000000000000064</c:v>
                </c:pt>
                <c:pt idx="5">
                  <c:v>0.60000000000000064</c:v>
                </c:pt>
                <c:pt idx="6">
                  <c:v>0.60000000000000064</c:v>
                </c:pt>
                <c:pt idx="7">
                  <c:v>0.60000000000000064</c:v>
                </c:pt>
                <c:pt idx="8">
                  <c:v>0.60000000000000064</c:v>
                </c:pt>
                <c:pt idx="9">
                  <c:v>0.60000000000000064</c:v>
                </c:pt>
                <c:pt idx="10">
                  <c:v>0.60000000000000064</c:v>
                </c:pt>
                <c:pt idx="11">
                  <c:v>0.60000000000000064</c:v>
                </c:pt>
              </c:numCache>
            </c:numRef>
          </c:val>
        </c:ser>
        <c:marker val="1"/>
        <c:axId val="168217984"/>
        <c:axId val="167511168"/>
      </c:lineChart>
      <c:catAx>
        <c:axId val="168217984"/>
        <c:scaling>
          <c:orientation val="minMax"/>
        </c:scaling>
        <c:axPos val="b"/>
        <c:numFmt formatCode="mmm\-yy" sourceLinked="1"/>
        <c:tickLblPos val="nextTo"/>
        <c:spPr>
          <a:ln w="3175">
            <a:solidFill>
              <a:srgbClr val="000000"/>
            </a:solidFill>
            <a:prstDash val="solid"/>
          </a:ln>
        </c:spPr>
        <c:txPr>
          <a:bodyPr rot="-5400000" vert="horz"/>
          <a:lstStyle/>
          <a:p>
            <a:pPr>
              <a:defRPr sz="600" b="1" i="0" u="none" strike="noStrike" baseline="0">
                <a:solidFill>
                  <a:srgbClr val="000000"/>
                </a:solidFill>
                <a:latin typeface="Arial"/>
                <a:ea typeface="Arial"/>
                <a:cs typeface="Arial"/>
              </a:defRPr>
            </a:pPr>
            <a:endParaRPr lang="es-ES"/>
          </a:p>
        </c:txPr>
        <c:crossAx val="167511168"/>
        <c:crosses val="autoZero"/>
        <c:auto val="1"/>
        <c:lblAlgn val="ctr"/>
        <c:lblOffset val="100"/>
        <c:tickLblSkip val="1"/>
        <c:tickMarkSkip val="1"/>
      </c:catAx>
      <c:valAx>
        <c:axId val="167511168"/>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217984"/>
        <c:crosses val="autoZero"/>
        <c:crossBetween val="between"/>
        <c:minorUnit val="0.1"/>
      </c:valAx>
      <c:spPr>
        <a:noFill/>
        <a:ln w="25400">
          <a:noFill/>
        </a:ln>
      </c:spPr>
    </c:plotArea>
    <c:legend>
      <c:legendPos val="r"/>
      <c:legendEntry>
        <c:idx val="4"/>
        <c:delete val="1"/>
      </c:legendEntry>
      <c:layout>
        <c:manualLayout>
          <c:xMode val="edge"/>
          <c:yMode val="edge"/>
          <c:x val="0.79288328122987994"/>
          <c:y val="0.23789094120244342"/>
          <c:w val="0.20469938841068194"/>
          <c:h val="0.64865773787622361"/>
        </c:manualLayout>
      </c:layout>
      <c:spPr>
        <a:solidFill>
          <a:srgbClr val="FFFFFF"/>
        </a:solidFill>
        <a:ln w="25400">
          <a:noFill/>
        </a:ln>
      </c:spPr>
      <c:txPr>
        <a:bodyPr/>
        <a:lstStyle/>
        <a:p>
          <a:pPr>
            <a:defRPr sz="60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CO"/>
              <a:t>% AVANCE</a:t>
            </a:r>
            <a:r>
              <a:rPr lang="es-CO" baseline="0"/>
              <a:t> ACTUACIONES PROCESOS JURIDICOS</a:t>
            </a:r>
            <a:endParaRPr lang="es-CO"/>
          </a:p>
        </c:rich>
      </c:tx>
    </c:title>
    <c:plotArea>
      <c:layout>
        <c:manualLayout>
          <c:layoutTarget val="inner"/>
          <c:xMode val="edge"/>
          <c:yMode val="edge"/>
          <c:x val="0.13544669897032208"/>
          <c:y val="0.16780857392825815"/>
          <c:w val="0.60701158155787061"/>
          <c:h val="0.57191876457948465"/>
        </c:manualLayout>
      </c:layout>
      <c:barChart>
        <c:barDir val="col"/>
        <c:grouping val="clustered"/>
        <c:ser>
          <c:idx val="0"/>
          <c:order val="0"/>
          <c:tx>
            <c:strRef>
              <c:f>DATOS!$A$20</c:f>
              <c:strCache>
                <c:ptCount val="1"/>
                <c:pt idx="0">
                  <c:v>PORCENTAJE AVANCE ACTUACIONES PROCESOS JURIIDICOS </c:v>
                </c:pt>
              </c:strCache>
            </c:strRef>
          </c:tx>
          <c:spPr>
            <a:solidFill>
              <a:srgbClr val="000090"/>
            </a:solidFill>
            <a:ln w="12700">
              <a:solidFill>
                <a:srgbClr val="000000"/>
              </a:solidFill>
              <a:prstDash val="solid"/>
            </a:ln>
          </c:spPr>
          <c:dLbls>
            <c:dLbl>
              <c:idx val="0"/>
              <c:layout>
                <c:manualLayout>
                  <c:x val="-6.3133238019468371E-3"/>
                  <c:y val="3.2589468970407195E-3"/>
                </c:manualLayout>
              </c:layout>
              <c:dLblPos val="outEnd"/>
              <c:showVal val="1"/>
            </c:dLbl>
            <c:dLbl>
              <c:idx val="1"/>
              <c:layout>
                <c:manualLayout>
                  <c:x val="-8.2737959456103023E-3"/>
                  <c:y val="2.742844348247949E-4"/>
                </c:manualLayout>
              </c:layout>
              <c:dLblPos val="outEnd"/>
              <c:showVal val="1"/>
            </c:dLbl>
            <c:dLbl>
              <c:idx val="2"/>
              <c:layout>
                <c:manualLayout>
                  <c:x val="1.9037251898151848E-3"/>
                  <c:y val="1.1850580288838352E-2"/>
                </c:manualLayout>
              </c:layout>
              <c:dLblPos val="outEnd"/>
              <c:showVal val="1"/>
            </c:dLbl>
            <c:dLbl>
              <c:idx val="3"/>
              <c:layout>
                <c:manualLayout>
                  <c:x val="2.4314043047068207E-2"/>
                  <c:y val="5.7860954584468913E-3"/>
                </c:manualLayout>
              </c:layout>
              <c:dLblPos val="outEnd"/>
              <c:showVal val="1"/>
            </c:dLbl>
            <c:dLbl>
              <c:idx val="4"/>
              <c:layout>
                <c:manualLayout>
                  <c:x val="0.47862565182996614"/>
                  <c:y val="0.27915102436839923"/>
                </c:manualLayout>
              </c:layout>
              <c:dLblPos val="outEnd"/>
              <c:showVal val="1"/>
            </c:dLbl>
            <c:dLbl>
              <c:idx val="5"/>
              <c:layout>
                <c:manualLayout>
                  <c:x val="-6.4747823968247095E-3"/>
                  <c:y val="8.8968914430719876E-3"/>
                </c:manualLayout>
              </c:layout>
              <c:dLblPos val="outEnd"/>
              <c:showVal val="1"/>
            </c:dLbl>
            <c:dLbl>
              <c:idx val="6"/>
              <c:layout>
                <c:manualLayout>
                  <c:x val="0.17865517375714601"/>
                  <c:y val="7.3291786394003792E-4"/>
                </c:manualLayout>
              </c:layout>
              <c:dLblPos val="outEnd"/>
              <c:showVal val="1"/>
            </c:dLbl>
            <c:dLbl>
              <c:idx val="7"/>
              <c:layout>
                <c:manualLayout>
                  <c:x val="0.20347903864354963"/>
                  <c:y val="-4.0064186289509585E-3"/>
                </c:manualLayout>
              </c:layout>
              <c:dLblPos val="outEnd"/>
              <c:showVal val="1"/>
            </c:dLbl>
            <c:dLbl>
              <c:idx val="8"/>
              <c:layout>
                <c:manualLayout>
                  <c:x val="0.23694803172515075"/>
                  <c:y val="3.3908273314177013E-2"/>
                </c:manualLayout>
              </c:layout>
              <c:dLblPos val="outEnd"/>
              <c:showVal val="1"/>
            </c:dLbl>
            <c:dLbl>
              <c:idx val="9"/>
              <c:layout>
                <c:manualLayout>
                  <c:x val="0.15230544633393311"/>
                  <c:y val="4.3386946299958991E-2"/>
                </c:manualLayout>
              </c:layout>
              <c:dLblPos val="outEnd"/>
              <c:showVal val="1"/>
            </c:dLbl>
            <c:dLbl>
              <c:idx val="10"/>
              <c:layout>
                <c:manualLayout>
                  <c:x val="-0.1801715784683138"/>
                  <c:y val="9.4786729857820103E-3"/>
                </c:manualLayout>
              </c:layout>
              <c:dLblPos val="outEnd"/>
              <c:showVal val="1"/>
            </c:dLbl>
            <c:dLbl>
              <c:idx val="11"/>
              <c:layout>
                <c:manualLayout>
                  <c:x val="-0.14299331624469391"/>
                  <c:y val="0"/>
                </c:manualLayout>
              </c:layout>
              <c:dLblPos val="outEnd"/>
              <c:showVal val="1"/>
            </c:dLbl>
            <c:dLbl>
              <c:idx val="12"/>
              <c:layout>
                <c:manualLayout>
                  <c:xMode val="edge"/>
                  <c:yMode val="edge"/>
                  <c:x val="0.48414985590778131"/>
                  <c:y val="0.54109679523088905"/>
                </c:manualLayout>
              </c:layout>
              <c:dLblPos val="outEnd"/>
              <c:showVal val="1"/>
            </c:dLbl>
            <c:dLbl>
              <c:idx val="13"/>
              <c:layout>
                <c:manualLayout>
                  <c:xMode val="edge"/>
                  <c:yMode val="edge"/>
                  <c:x val="0.55907780979827104"/>
                  <c:y val="0.54109679523088905"/>
                </c:manualLayout>
              </c:layout>
              <c:dLblPos val="outEnd"/>
              <c:showVal val="1"/>
            </c:dLbl>
            <c:dLbl>
              <c:idx val="14"/>
              <c:layout>
                <c:manualLayout>
                  <c:xMode val="edge"/>
                  <c:yMode val="edge"/>
                  <c:x val="0.51296829971181557"/>
                  <c:y val="0.61643938697189904"/>
                </c:manualLayout>
              </c:layout>
              <c:dLblPos val="outEnd"/>
              <c:showVal val="1"/>
            </c:dLbl>
            <c:dLbl>
              <c:idx val="15"/>
              <c:layout>
                <c:manualLayout>
                  <c:xMode val="edge"/>
                  <c:yMode val="edge"/>
                  <c:x val="0.63400576368876405"/>
                  <c:y val="0.21917844870112102"/>
                </c:manualLayout>
              </c:layout>
              <c:dLblPos val="outEnd"/>
              <c:showVal val="1"/>
            </c:dLbl>
            <c:dLbl>
              <c:idx val="16"/>
              <c:layout>
                <c:manualLayout>
                  <c:xMode val="edge"/>
                  <c:yMode val="edge"/>
                  <c:x val="0.60230547550432556"/>
                  <c:y val="0.29452104044212879"/>
                </c:manualLayout>
              </c:layout>
              <c:dLblPos val="outEnd"/>
              <c:showVal val="1"/>
            </c:dLbl>
            <c:dLbl>
              <c:idx val="17"/>
              <c:layout>
                <c:manualLayout>
                  <c:xMode val="edge"/>
                  <c:yMode val="edge"/>
                  <c:x val="0.67723342939481568"/>
                  <c:y val="0.29109637718117432"/>
                </c:manualLayout>
              </c:layout>
              <c:dLblPos val="outEnd"/>
              <c:showVal val="1"/>
            </c:dLbl>
            <c:dLbl>
              <c:idx val="18"/>
              <c:layout>
                <c:manualLayout>
                  <c:xMode val="edge"/>
                  <c:yMode val="edge"/>
                  <c:x val="0.71181556195965356"/>
                  <c:y val="0.222603111962075"/>
                </c:manualLayout>
              </c:layout>
              <c:dLblPos val="outEnd"/>
              <c:showVal val="1"/>
            </c:dLbl>
            <c:dLbl>
              <c:idx val="19"/>
              <c:layout>
                <c:manualLayout>
                  <c:xMode val="edge"/>
                  <c:yMode val="edge"/>
                  <c:x val="0.74927953890490062"/>
                  <c:y val="0.273973060876399"/>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DATOS!$B$14:$M$14</c:f>
              <c:strCache>
                <c:ptCount val="12"/>
                <c:pt idx="0">
                  <c:v>ENE-MAR/2012</c:v>
                </c:pt>
                <c:pt idx="1">
                  <c:v>ABR-JUN/2012</c:v>
                </c:pt>
                <c:pt idx="2">
                  <c:v>JUL-SEP/2012</c:v>
                </c:pt>
                <c:pt idx="3">
                  <c:v>OCT-DIC/2012</c:v>
                </c:pt>
                <c:pt idx="4">
                  <c:v>ENE-MAR/2013</c:v>
                </c:pt>
                <c:pt idx="5">
                  <c:v>ABR - JUN /2013</c:v>
                </c:pt>
                <c:pt idx="6">
                  <c:v>JUL - SEPT /2013</c:v>
                </c:pt>
                <c:pt idx="7">
                  <c:v>OCT - DIC /2013</c:v>
                </c:pt>
                <c:pt idx="8">
                  <c:v>ENE - FEB - MAR /2014</c:v>
                </c:pt>
                <c:pt idx="9">
                  <c:v>ABR - MAY - JUN /2014</c:v>
                </c:pt>
                <c:pt idx="10">
                  <c:v>JUL - AGO -SEPT /2014</c:v>
                </c:pt>
                <c:pt idx="11">
                  <c:v>OCT - NOV - DIC /2014</c:v>
                </c:pt>
              </c:strCache>
            </c:strRef>
          </c:cat>
          <c:val>
            <c:numRef>
              <c:f>DATOS!$B$20:$M$20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axId val="167969920"/>
        <c:axId val="167971456"/>
      </c:barChart>
      <c:lineChart>
        <c:grouping val="standard"/>
        <c:ser>
          <c:idx val="1"/>
          <c:order val="1"/>
          <c:tx>
            <c:strRef>
              <c:f>DATOS!$A$21</c:f>
              <c:strCache>
                <c:ptCount val="1"/>
                <c:pt idx="0">
                  <c:v>EXCELENTE</c:v>
                </c:pt>
              </c:strCache>
            </c:strRef>
          </c:tx>
          <c:spPr>
            <a:ln w="25400">
              <a:solidFill>
                <a:srgbClr val="339966"/>
              </a:solidFill>
              <a:prstDash val="solid"/>
            </a:ln>
          </c:spPr>
          <c:marker>
            <c:symbol val="none"/>
          </c:marker>
          <c:val>
            <c:numRef>
              <c:f>DATOS!$B$21:$M$21</c:f>
              <c:numCache>
                <c:formatCode>0%</c:formatCode>
                <c:ptCount val="12"/>
                <c:pt idx="0">
                  <c:v>0.8</c:v>
                </c:pt>
                <c:pt idx="1">
                  <c:v>0.8</c:v>
                </c:pt>
                <c:pt idx="2">
                  <c:v>0.8</c:v>
                </c:pt>
                <c:pt idx="3">
                  <c:v>0.8</c:v>
                </c:pt>
                <c:pt idx="4">
                  <c:v>0.8</c:v>
                </c:pt>
                <c:pt idx="5">
                  <c:v>0.8</c:v>
                </c:pt>
                <c:pt idx="6">
                  <c:v>0.8</c:v>
                </c:pt>
                <c:pt idx="7">
                  <c:v>0.8</c:v>
                </c:pt>
                <c:pt idx="8">
                  <c:v>0.8</c:v>
                </c:pt>
                <c:pt idx="9">
                  <c:v>0.8</c:v>
                </c:pt>
                <c:pt idx="10">
                  <c:v>0.8</c:v>
                </c:pt>
                <c:pt idx="11">
                  <c:v>0.8</c:v>
                </c:pt>
              </c:numCache>
            </c:numRef>
          </c:val>
        </c:ser>
        <c:ser>
          <c:idx val="2"/>
          <c:order val="2"/>
          <c:tx>
            <c:strRef>
              <c:f>DATOS!$A$22</c:f>
              <c:strCache>
                <c:ptCount val="1"/>
                <c:pt idx="0">
                  <c:v>REGULAR</c:v>
                </c:pt>
              </c:strCache>
            </c:strRef>
          </c:tx>
          <c:spPr>
            <a:ln w="25400">
              <a:solidFill>
                <a:srgbClr val="00ABEA"/>
              </a:solidFill>
              <a:prstDash val="solid"/>
            </a:ln>
          </c:spPr>
          <c:marker>
            <c:symbol val="none"/>
          </c:marker>
          <c:val>
            <c:numRef>
              <c:f>DATOS!$B$22:$M$22</c:f>
              <c:numCache>
                <c:formatCode>0%</c:formatCode>
                <c:ptCount val="12"/>
                <c:pt idx="0">
                  <c:v>0.5</c:v>
                </c:pt>
                <c:pt idx="1">
                  <c:v>0.5</c:v>
                </c:pt>
                <c:pt idx="2">
                  <c:v>0.5</c:v>
                </c:pt>
                <c:pt idx="3">
                  <c:v>0.5</c:v>
                </c:pt>
                <c:pt idx="4">
                  <c:v>0.5</c:v>
                </c:pt>
                <c:pt idx="5">
                  <c:v>0.5</c:v>
                </c:pt>
                <c:pt idx="6">
                  <c:v>0.5</c:v>
                </c:pt>
                <c:pt idx="7">
                  <c:v>0.5</c:v>
                </c:pt>
                <c:pt idx="8">
                  <c:v>0.5</c:v>
                </c:pt>
                <c:pt idx="9">
                  <c:v>0.5</c:v>
                </c:pt>
                <c:pt idx="10">
                  <c:v>0.5</c:v>
                </c:pt>
                <c:pt idx="11">
                  <c:v>0.5</c:v>
                </c:pt>
              </c:numCache>
            </c:numRef>
          </c:val>
        </c:ser>
        <c:ser>
          <c:idx val="3"/>
          <c:order val="3"/>
          <c:tx>
            <c:strRef>
              <c:f>DATOS!$A$23</c:f>
              <c:strCache>
                <c:ptCount val="1"/>
                <c:pt idx="0">
                  <c:v>DEFICIENTE</c:v>
                </c:pt>
              </c:strCache>
            </c:strRef>
          </c:tx>
          <c:spPr>
            <a:ln w="25400">
              <a:solidFill>
                <a:srgbClr val="DD0806"/>
              </a:solidFill>
              <a:prstDash val="solid"/>
            </a:ln>
          </c:spPr>
          <c:marker>
            <c:symbol val="none"/>
          </c:marker>
          <c:val>
            <c:numRef>
              <c:f>DATOS!$B$23:$M$23</c:f>
              <c:numCache>
                <c:formatCode>0%</c:formatCode>
                <c:ptCount val="12"/>
                <c:pt idx="0">
                  <c:v>0.30000000000000032</c:v>
                </c:pt>
                <c:pt idx="1">
                  <c:v>0.30000000000000032</c:v>
                </c:pt>
                <c:pt idx="2">
                  <c:v>0.30000000000000032</c:v>
                </c:pt>
                <c:pt idx="3">
                  <c:v>0.30000000000000032</c:v>
                </c:pt>
                <c:pt idx="4">
                  <c:v>0.30000000000000032</c:v>
                </c:pt>
                <c:pt idx="5">
                  <c:v>0.30000000000000032</c:v>
                </c:pt>
                <c:pt idx="6">
                  <c:v>0.30000000000000032</c:v>
                </c:pt>
                <c:pt idx="7">
                  <c:v>0.30000000000000032</c:v>
                </c:pt>
                <c:pt idx="8">
                  <c:v>0.30000000000000032</c:v>
                </c:pt>
                <c:pt idx="9">
                  <c:v>0.30000000000000032</c:v>
                </c:pt>
                <c:pt idx="10">
                  <c:v>0.30000000000000032</c:v>
                </c:pt>
                <c:pt idx="11">
                  <c:v>0.30000000000000032</c:v>
                </c:pt>
              </c:numCache>
            </c:numRef>
          </c:val>
        </c:ser>
        <c:marker val="1"/>
        <c:axId val="167969920"/>
        <c:axId val="167971456"/>
      </c:lineChart>
      <c:catAx>
        <c:axId val="167969920"/>
        <c:scaling>
          <c:orientation val="minMax"/>
        </c:scaling>
        <c:axPos val="b"/>
        <c:numFmt formatCode="mmm\-yy" sourceLinked="1"/>
        <c:tickLblPos val="nextTo"/>
        <c:spPr>
          <a:ln w="3175">
            <a:solidFill>
              <a:srgbClr val="000000"/>
            </a:solidFill>
            <a:prstDash val="solid"/>
          </a:ln>
        </c:spPr>
        <c:txPr>
          <a:bodyPr rot="-5400000" vert="horz"/>
          <a:lstStyle/>
          <a:p>
            <a:pPr>
              <a:defRPr sz="600" b="1" i="0" u="none" strike="noStrike" baseline="0">
                <a:solidFill>
                  <a:srgbClr val="000000"/>
                </a:solidFill>
                <a:latin typeface="Arial"/>
                <a:ea typeface="Arial"/>
                <a:cs typeface="Arial"/>
              </a:defRPr>
            </a:pPr>
            <a:endParaRPr lang="es-ES"/>
          </a:p>
        </c:txPr>
        <c:crossAx val="167971456"/>
        <c:crosses val="autoZero"/>
        <c:auto val="1"/>
        <c:lblAlgn val="ctr"/>
        <c:lblOffset val="100"/>
        <c:tickLblSkip val="1"/>
        <c:tickMarkSkip val="1"/>
      </c:catAx>
      <c:valAx>
        <c:axId val="167971456"/>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7969920"/>
        <c:crosses val="autoZero"/>
        <c:crossBetween val="between"/>
        <c:minorUnit val="0.1"/>
      </c:valAx>
      <c:spPr>
        <a:noFill/>
        <a:ln w="25400">
          <a:noFill/>
        </a:ln>
      </c:spPr>
    </c:plotArea>
    <c:legend>
      <c:legendPos val="r"/>
      <c:legendEntry>
        <c:idx val="4"/>
        <c:delete val="1"/>
      </c:legendEntry>
      <c:layout>
        <c:manualLayout>
          <c:xMode val="edge"/>
          <c:yMode val="edge"/>
          <c:x val="0.73417542510111533"/>
          <c:y val="0.20313617195954767"/>
          <c:w val="0.24928554008800741"/>
          <c:h val="0.75121804679628312"/>
        </c:manualLayout>
      </c:layout>
      <c:spPr>
        <a:solidFill>
          <a:srgbClr val="FFFFFF"/>
        </a:solidFill>
        <a:ln w="25400">
          <a:noFill/>
        </a:ln>
      </c:spPr>
      <c:txPr>
        <a:bodyPr/>
        <a:lstStyle/>
        <a:p>
          <a:pPr>
            <a:defRPr sz="46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12700">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 EFECTIVIDAD ATENCION CONSULTAS</a:t>
            </a:r>
          </a:p>
        </c:rich>
      </c:tx>
    </c:title>
    <c:plotArea>
      <c:layout>
        <c:manualLayout>
          <c:layoutTarget val="inner"/>
          <c:xMode val="edge"/>
          <c:yMode val="edge"/>
          <c:x val="0.11604971287616378"/>
          <c:y val="0.10051886371346416"/>
          <c:w val="0.60767587504799436"/>
          <c:h val="0.56110681080119262"/>
        </c:manualLayout>
      </c:layout>
      <c:barChart>
        <c:barDir val="col"/>
        <c:grouping val="clustered"/>
        <c:ser>
          <c:idx val="0"/>
          <c:order val="0"/>
          <c:tx>
            <c:strRef>
              <c:f>DATOS!$A$8</c:f>
              <c:strCache>
                <c:ptCount val="1"/>
                <c:pt idx="0">
                  <c:v>% EFECTIVIDAD ATENCION CONSULTAS</c:v>
                </c:pt>
              </c:strCache>
            </c:strRef>
          </c:tx>
          <c:spPr>
            <a:solidFill>
              <a:srgbClr val="800080"/>
            </a:solidFill>
            <a:ln w="12700">
              <a:solidFill>
                <a:srgbClr val="000000"/>
              </a:solidFill>
              <a:prstDash val="solid"/>
            </a:ln>
          </c:spPr>
          <c:dLbls>
            <c:dLbl>
              <c:idx val="1"/>
              <c:layout>
                <c:manualLayout>
                  <c:x val="9.9218533720028205E-3"/>
                  <c:y val="-2.6078759287391985E-2"/>
                </c:manualLayout>
              </c:layout>
              <c:dLblPos val="outEnd"/>
              <c:showVal val="1"/>
            </c:dLbl>
            <c:dLbl>
              <c:idx val="2"/>
              <c:layout>
                <c:manualLayout>
                  <c:x val="-6.5711210559112025E-5"/>
                  <c:y val="1.216058754987466E-2"/>
                </c:manualLayout>
              </c:layout>
              <c:dLblPos val="outEnd"/>
              <c:showVal val="1"/>
            </c:dLbl>
            <c:dLbl>
              <c:idx val="3"/>
              <c:layout>
                <c:manualLayout>
                  <c:x val="2.7872127494854609E-2"/>
                  <c:y val="-2.3268952367501151E-4"/>
                </c:manualLayout>
              </c:layout>
              <c:dLblPos val="outEnd"/>
              <c:showVal val="1"/>
            </c:dLbl>
            <c:dLbl>
              <c:idx val="4"/>
              <c:layout>
                <c:manualLayout>
                  <c:x val="0.53788125405187792"/>
                  <c:y val="0.12109212245330345"/>
                </c:manualLayout>
              </c:layout>
              <c:dLblPos val="outEnd"/>
              <c:showVal val="1"/>
            </c:dLbl>
            <c:dLbl>
              <c:idx val="5"/>
              <c:layout>
                <c:manualLayout>
                  <c:x val="-2.1848348093179083E-3"/>
                  <c:y val="8.1204759718936526E-3"/>
                </c:manualLayout>
              </c:layout>
              <c:dLblPos val="outEnd"/>
              <c:showVal val="1"/>
            </c:dLbl>
            <c:dLbl>
              <c:idx val="6"/>
              <c:layout>
                <c:manualLayout>
                  <c:x val="2.3850903529145234E-2"/>
                  <c:y val="1.2373856855337029E-2"/>
                </c:manualLayout>
              </c:layout>
              <c:dLblPos val="outEnd"/>
              <c:showVal val="1"/>
            </c:dLbl>
            <c:dLbl>
              <c:idx val="7"/>
              <c:layout>
                <c:manualLayout>
                  <c:x val="0.31032509425530502"/>
                  <c:y val="4.5158009957275522E-2"/>
                </c:manualLayout>
              </c:layout>
              <c:dLblPos val="outEnd"/>
              <c:showVal val="1"/>
            </c:dLbl>
            <c:dLbl>
              <c:idx val="8"/>
              <c:layout>
                <c:manualLayout>
                  <c:x val="-8.9772591375718511E-3"/>
                  <c:y val="-1.97380036015678E-4"/>
                </c:manualLayout>
              </c:layout>
              <c:dLblPos val="outEnd"/>
              <c:showVal val="1"/>
            </c:dLbl>
            <c:dLbl>
              <c:idx val="9"/>
              <c:layout>
                <c:manualLayout>
                  <c:x val="0.18605260673351082"/>
                  <c:y val="7.9903605098689989E-2"/>
                </c:manualLayout>
              </c:layout>
              <c:dLblPos val="outEnd"/>
              <c:showVal val="1"/>
            </c:dLbl>
            <c:dLbl>
              <c:idx val="10"/>
              <c:layout>
                <c:manualLayout>
                  <c:x val="-4.1371627107762612E-2"/>
                  <c:y val="2.9797676635712014E-3"/>
                </c:manualLayout>
              </c:layout>
              <c:dLblPos val="outEnd"/>
              <c:showVal val="1"/>
            </c:dLbl>
            <c:dLbl>
              <c:idx val="11"/>
              <c:layout>
                <c:manualLayout>
                  <c:x val="-1.9599312675843576E-2"/>
                  <c:y val="7.3574379435754388E-3"/>
                </c:manualLayout>
              </c:layout>
              <c:dLblPos val="outEnd"/>
              <c:showVal val="1"/>
            </c:dLbl>
            <c:dLbl>
              <c:idx val="12"/>
              <c:layout>
                <c:manualLayout>
                  <c:x val="6.969416592710098E-3"/>
                  <c:y val="-8.9530673072645839E-3"/>
                </c:manualLayout>
              </c:layout>
              <c:dLblPos val="outEnd"/>
              <c:showVal val="1"/>
            </c:dLbl>
            <c:dLbl>
              <c:idx val="13"/>
              <c:layout>
                <c:manualLayout>
                  <c:x val="2.5005507405099658E-2"/>
                  <c:y val="-1.4835535388584901E-2"/>
                </c:manualLayout>
              </c:layout>
              <c:dLblPos val="outEnd"/>
              <c:showVal val="1"/>
            </c:dLbl>
            <c:dLbl>
              <c:idx val="14"/>
              <c:layout>
                <c:manualLayout>
                  <c:x val="4.6440202168973446E-2"/>
                  <c:y val="-3.44079362960985E-2"/>
                </c:manualLayout>
              </c:layout>
              <c:dLblPos val="outEnd"/>
              <c:showVal val="1"/>
            </c:dLbl>
            <c:dLbl>
              <c:idx val="15"/>
              <c:layout>
                <c:manualLayout>
                  <c:x val="-4.7907500771036733E-2"/>
                  <c:y val="1.578860269584946E-2"/>
                </c:manualLayout>
              </c:layout>
              <c:dLblPos val="outEnd"/>
              <c:showVal val="1"/>
            </c:dLbl>
            <c:dLbl>
              <c:idx val="16"/>
              <c:layout>
                <c:manualLayout>
                  <c:x val="-1.8980371771901296E-2"/>
                  <c:y val="4.3194913835074004E-2"/>
                </c:manualLayout>
              </c:layout>
              <c:dLblPos val="outEnd"/>
              <c:showVal val="1"/>
            </c:dLbl>
            <c:dLbl>
              <c:idx val="17"/>
              <c:layout>
                <c:manualLayout>
                  <c:x val="1.72603408856828E-2"/>
                  <c:y val="3.9770250574118891E-2"/>
                </c:manualLayout>
              </c:layout>
              <c:dLblPos val="outEnd"/>
              <c:showVal val="1"/>
            </c:dLbl>
            <c:dLbl>
              <c:idx val="18"/>
              <c:layout>
                <c:manualLayout>
                  <c:x val="1.8933068956112589E-2"/>
                  <c:y val="-2.8723014644980935E-2"/>
                </c:manualLayout>
              </c:layout>
              <c:dLblPos val="outEnd"/>
              <c:showVal val="1"/>
            </c:dLbl>
            <c:dLbl>
              <c:idx val="19"/>
              <c:layout>
                <c:manualLayout>
                  <c:x val="2.3074687015677491E-2"/>
                  <c:y val="2.2646934269344002E-2"/>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DATOS!$B$7:$AN$7</c:f>
              <c:strCache>
                <c:ptCount val="12"/>
                <c:pt idx="0">
                  <c:v>ENE-MAR 2012</c:v>
                </c:pt>
                <c:pt idx="1">
                  <c:v>ABR - JUN/2012</c:v>
                </c:pt>
                <c:pt idx="2">
                  <c:v>JUL-SEP/2012</c:v>
                </c:pt>
                <c:pt idx="3">
                  <c:v>OCT-DIC/2012</c:v>
                </c:pt>
                <c:pt idx="4">
                  <c:v>ENE-MAR2013</c:v>
                </c:pt>
                <c:pt idx="5">
                  <c:v>ABR-JUN2013</c:v>
                </c:pt>
                <c:pt idx="6">
                  <c:v>JUL-SEP/13</c:v>
                </c:pt>
                <c:pt idx="7">
                  <c:v>OCT-DIC/13</c:v>
                </c:pt>
                <c:pt idx="8">
                  <c:v>ENERO-MAR/14</c:v>
                </c:pt>
                <c:pt idx="9">
                  <c:v>ABRIL - JUNIO 14</c:v>
                </c:pt>
                <c:pt idx="10">
                  <c:v>JULIO - SEPT.</c:v>
                </c:pt>
                <c:pt idx="11">
                  <c:v>OCT-DICI</c:v>
                </c:pt>
              </c:strCache>
            </c:strRef>
          </c:cat>
          <c:val>
            <c:numRef>
              <c:f>DATOS!$B$8:$AN$8</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gapWidth val="30"/>
        <c:axId val="168352384"/>
        <c:axId val="168395136"/>
      </c:barChart>
      <c:lineChart>
        <c:grouping val="standard"/>
        <c:ser>
          <c:idx val="1"/>
          <c:order val="1"/>
          <c:tx>
            <c:strRef>
              <c:f>DATOS!$A$9</c:f>
              <c:strCache>
                <c:ptCount val="1"/>
                <c:pt idx="0">
                  <c:v>EXCELENTE</c:v>
                </c:pt>
              </c:strCache>
            </c:strRef>
          </c:tx>
          <c:spPr>
            <a:ln w="25400">
              <a:solidFill>
                <a:srgbClr val="339966"/>
              </a:solidFill>
              <a:prstDash val="solid"/>
            </a:ln>
          </c:spPr>
          <c:marker>
            <c:symbol val="none"/>
          </c:marker>
          <c:cat>
            <c:strRef>
              <c:f>DATOS!$B$7:$AN$7</c:f>
              <c:strCache>
                <c:ptCount val="12"/>
                <c:pt idx="0">
                  <c:v>ENE-MAR 2012</c:v>
                </c:pt>
                <c:pt idx="1">
                  <c:v>ABR - JUN/2012</c:v>
                </c:pt>
                <c:pt idx="2">
                  <c:v>JUL-SEP/2012</c:v>
                </c:pt>
                <c:pt idx="3">
                  <c:v>OCT-DIC/2012</c:v>
                </c:pt>
                <c:pt idx="4">
                  <c:v>ENE-MAR2013</c:v>
                </c:pt>
                <c:pt idx="5">
                  <c:v>ABR-JUN2013</c:v>
                </c:pt>
                <c:pt idx="6">
                  <c:v>JUL-SEP/13</c:v>
                </c:pt>
                <c:pt idx="7">
                  <c:v>OCT-DIC/13</c:v>
                </c:pt>
                <c:pt idx="8">
                  <c:v>ENERO-MAR/14</c:v>
                </c:pt>
                <c:pt idx="9">
                  <c:v>ABRIL - JUNIO 14</c:v>
                </c:pt>
                <c:pt idx="10">
                  <c:v>JULIO - SEPT.</c:v>
                </c:pt>
                <c:pt idx="11">
                  <c:v>OCT-DICI</c:v>
                </c:pt>
              </c:strCache>
            </c:strRef>
          </c:cat>
          <c:val>
            <c:numRef>
              <c:f>DATOS!$B$9:$AN$9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ser>
          <c:idx val="2"/>
          <c:order val="2"/>
          <c:tx>
            <c:strRef>
              <c:f>DATOS!$A$10</c:f>
              <c:strCache>
                <c:ptCount val="1"/>
                <c:pt idx="0">
                  <c:v>REGULAR</c:v>
                </c:pt>
              </c:strCache>
            </c:strRef>
          </c:tx>
          <c:spPr>
            <a:ln w="25400">
              <a:solidFill>
                <a:srgbClr val="00FFFF"/>
              </a:solidFill>
              <a:prstDash val="solid"/>
            </a:ln>
          </c:spPr>
          <c:marker>
            <c:symbol val="none"/>
          </c:marker>
          <c:cat>
            <c:strRef>
              <c:f>DATOS!$B$7:$AN$7</c:f>
              <c:strCache>
                <c:ptCount val="12"/>
                <c:pt idx="0">
                  <c:v>ENE-MAR 2012</c:v>
                </c:pt>
                <c:pt idx="1">
                  <c:v>ABR - JUN/2012</c:v>
                </c:pt>
                <c:pt idx="2">
                  <c:v>JUL-SEP/2012</c:v>
                </c:pt>
                <c:pt idx="3">
                  <c:v>OCT-DIC/2012</c:v>
                </c:pt>
                <c:pt idx="4">
                  <c:v>ENE-MAR2013</c:v>
                </c:pt>
                <c:pt idx="5">
                  <c:v>ABR-JUN2013</c:v>
                </c:pt>
                <c:pt idx="6">
                  <c:v>JUL-SEP/13</c:v>
                </c:pt>
                <c:pt idx="7">
                  <c:v>OCT-DIC/13</c:v>
                </c:pt>
                <c:pt idx="8">
                  <c:v>ENERO-MAR/14</c:v>
                </c:pt>
                <c:pt idx="9">
                  <c:v>ABRIL - JUNIO 14</c:v>
                </c:pt>
                <c:pt idx="10">
                  <c:v>JULIO - SEPT.</c:v>
                </c:pt>
                <c:pt idx="11">
                  <c:v>OCT-DICI</c:v>
                </c:pt>
              </c:strCache>
            </c:strRef>
          </c:cat>
          <c:val>
            <c:numRef>
              <c:f>DATOS!$B$10:$AN$10</c:f>
              <c:numCache>
                <c:formatCode>0%</c:formatCode>
                <c:ptCount val="12"/>
                <c:pt idx="0">
                  <c:v>0.8</c:v>
                </c:pt>
                <c:pt idx="1">
                  <c:v>0.8</c:v>
                </c:pt>
                <c:pt idx="2">
                  <c:v>0.8</c:v>
                </c:pt>
                <c:pt idx="3">
                  <c:v>0.8</c:v>
                </c:pt>
                <c:pt idx="4">
                  <c:v>0.8</c:v>
                </c:pt>
                <c:pt idx="5">
                  <c:v>0.8</c:v>
                </c:pt>
                <c:pt idx="6">
                  <c:v>0.8</c:v>
                </c:pt>
                <c:pt idx="7">
                  <c:v>0.8</c:v>
                </c:pt>
                <c:pt idx="8">
                  <c:v>0.8</c:v>
                </c:pt>
                <c:pt idx="9">
                  <c:v>0.8</c:v>
                </c:pt>
                <c:pt idx="10">
                  <c:v>0.8</c:v>
                </c:pt>
                <c:pt idx="11">
                  <c:v>0.8</c:v>
                </c:pt>
              </c:numCache>
            </c:numRef>
          </c:val>
        </c:ser>
        <c:ser>
          <c:idx val="3"/>
          <c:order val="3"/>
          <c:tx>
            <c:strRef>
              <c:f>DATOS!$A$11</c:f>
              <c:strCache>
                <c:ptCount val="1"/>
                <c:pt idx="0">
                  <c:v>DEFICIENTE</c:v>
                </c:pt>
              </c:strCache>
            </c:strRef>
          </c:tx>
          <c:spPr>
            <a:ln w="25400">
              <a:solidFill>
                <a:srgbClr val="FF0000"/>
              </a:solidFill>
              <a:prstDash val="solid"/>
            </a:ln>
          </c:spPr>
          <c:marker>
            <c:symbol val="none"/>
          </c:marker>
          <c:cat>
            <c:strRef>
              <c:f>DATOS!$B$7:$AN$7</c:f>
              <c:strCache>
                <c:ptCount val="12"/>
                <c:pt idx="0">
                  <c:v>ENE-MAR 2012</c:v>
                </c:pt>
                <c:pt idx="1">
                  <c:v>ABR - JUN/2012</c:v>
                </c:pt>
                <c:pt idx="2">
                  <c:v>JUL-SEP/2012</c:v>
                </c:pt>
                <c:pt idx="3">
                  <c:v>OCT-DIC/2012</c:v>
                </c:pt>
                <c:pt idx="4">
                  <c:v>ENE-MAR2013</c:v>
                </c:pt>
                <c:pt idx="5">
                  <c:v>ABR-JUN2013</c:v>
                </c:pt>
                <c:pt idx="6">
                  <c:v>JUL-SEP/13</c:v>
                </c:pt>
                <c:pt idx="7">
                  <c:v>OCT-DIC/13</c:v>
                </c:pt>
                <c:pt idx="8">
                  <c:v>ENERO-MAR/14</c:v>
                </c:pt>
                <c:pt idx="9">
                  <c:v>ABRIL - JUNIO 14</c:v>
                </c:pt>
                <c:pt idx="10">
                  <c:v>JULIO - SEPT.</c:v>
                </c:pt>
                <c:pt idx="11">
                  <c:v>OCT-DICI</c:v>
                </c:pt>
              </c:strCache>
            </c:strRef>
          </c:cat>
          <c:val>
            <c:numRef>
              <c:f>DATOS!$B$11:$AN$11</c:f>
              <c:numCache>
                <c:formatCode>0%</c:formatCode>
                <c:ptCount val="12"/>
                <c:pt idx="0">
                  <c:v>0.70000000000000062</c:v>
                </c:pt>
                <c:pt idx="1">
                  <c:v>0.70000000000000062</c:v>
                </c:pt>
                <c:pt idx="2">
                  <c:v>0.70000000000000062</c:v>
                </c:pt>
                <c:pt idx="3">
                  <c:v>0.70000000000000062</c:v>
                </c:pt>
                <c:pt idx="4">
                  <c:v>0.70000000000000062</c:v>
                </c:pt>
                <c:pt idx="5">
                  <c:v>0.70000000000000062</c:v>
                </c:pt>
                <c:pt idx="6">
                  <c:v>0.70000000000000062</c:v>
                </c:pt>
                <c:pt idx="7">
                  <c:v>0.70000000000000062</c:v>
                </c:pt>
                <c:pt idx="8">
                  <c:v>0.70000000000000062</c:v>
                </c:pt>
                <c:pt idx="9">
                  <c:v>0.70000000000000062</c:v>
                </c:pt>
                <c:pt idx="10">
                  <c:v>0.70000000000000062</c:v>
                </c:pt>
                <c:pt idx="11">
                  <c:v>0.70000000000000062</c:v>
                </c:pt>
              </c:numCache>
            </c:numRef>
          </c:val>
        </c:ser>
        <c:marker val="1"/>
        <c:axId val="168352384"/>
        <c:axId val="168395136"/>
      </c:lineChart>
      <c:catAx>
        <c:axId val="168352384"/>
        <c:scaling>
          <c:orientation val="minMax"/>
        </c:scaling>
        <c:axPos val="b"/>
        <c:numFmt formatCode="General" sourceLinked="1"/>
        <c:tickLblPos val="nextTo"/>
        <c:spPr>
          <a:ln w="3175">
            <a:solidFill>
              <a:srgbClr val="000000"/>
            </a:solidFill>
            <a:prstDash val="solid"/>
          </a:ln>
        </c:spPr>
        <c:txPr>
          <a:bodyPr rot="-5400000" vert="horz"/>
          <a:lstStyle/>
          <a:p>
            <a:pPr>
              <a:defRPr sz="600" b="1" i="0" u="none" strike="noStrike" baseline="0">
                <a:solidFill>
                  <a:srgbClr val="000000"/>
                </a:solidFill>
                <a:latin typeface="Arial"/>
                <a:ea typeface="Arial"/>
                <a:cs typeface="Arial"/>
              </a:defRPr>
            </a:pPr>
            <a:endParaRPr lang="es-ES"/>
          </a:p>
        </c:txPr>
        <c:crossAx val="168395136"/>
        <c:crosses val="autoZero"/>
        <c:auto val="1"/>
        <c:lblAlgn val="ctr"/>
        <c:lblOffset val="100"/>
        <c:tickLblSkip val="1"/>
        <c:tickMarkSkip val="1"/>
      </c:catAx>
      <c:valAx>
        <c:axId val="168395136"/>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352384"/>
        <c:crosses val="autoZero"/>
        <c:crossBetween val="between"/>
        <c:minorUnit val="0.1"/>
      </c:valAx>
      <c:spPr>
        <a:noFill/>
        <a:ln w="25400">
          <a:noFill/>
        </a:ln>
      </c:spPr>
    </c:plotArea>
    <c:legend>
      <c:legendPos val="r"/>
      <c:layout>
        <c:manualLayout>
          <c:xMode val="edge"/>
          <c:yMode val="edge"/>
          <c:x val="0.76019184652278404"/>
          <c:y val="0.14699410331556118"/>
          <c:w val="0.20703109952982529"/>
          <c:h val="0.74542035945058571"/>
        </c:manualLayout>
      </c:layout>
      <c:spPr>
        <a:solidFill>
          <a:srgbClr val="FFFFFF"/>
        </a:solidFill>
        <a:ln w="3175">
          <a:solidFill>
            <a:srgbClr val="000000"/>
          </a:solidFill>
          <a:prstDash val="solid"/>
        </a:ln>
      </c:spPr>
      <c:txPr>
        <a:bodyPr/>
        <a:lstStyle/>
        <a:p>
          <a:pPr>
            <a:defRPr sz="57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200"/>
            </a:pPr>
            <a:r>
              <a:rPr lang="es-CO" sz="1200"/>
              <a:t>% CUMPLIMIENTO DEL PROGRAMA DE CONTROL</a:t>
            </a:r>
            <a:r>
              <a:rPr lang="es-CO" sz="1200" baseline="0"/>
              <a:t> INTERNO</a:t>
            </a:r>
            <a:endParaRPr lang="es-CO" sz="1200"/>
          </a:p>
        </c:rich>
      </c:tx>
    </c:title>
    <c:plotArea>
      <c:layout>
        <c:manualLayout>
          <c:layoutTarget val="inner"/>
          <c:xMode val="edge"/>
          <c:yMode val="edge"/>
          <c:x val="0.125000143951006"/>
          <c:y val="0.173285504014666"/>
          <c:w val="0.60849162378439214"/>
          <c:h val="0.48375536537427805"/>
        </c:manualLayout>
      </c:layout>
      <c:barChart>
        <c:barDir val="col"/>
        <c:grouping val="clustered"/>
        <c:ser>
          <c:idx val="0"/>
          <c:order val="0"/>
          <c:tx>
            <c:strRef>
              <c:f>DATOS!$A$7</c:f>
              <c:strCache>
                <c:ptCount val="1"/>
                <c:pt idx="0">
                  <c:v>% CUMPLIMIENTO DEL PROGRAMA DE CONTROL INTERNO</c:v>
                </c:pt>
              </c:strCache>
            </c:strRef>
          </c:tx>
          <c:spPr>
            <a:solidFill>
              <a:srgbClr val="900000"/>
            </a:solidFill>
            <a:ln w="12700">
              <a:solidFill>
                <a:srgbClr val="000000"/>
              </a:solidFill>
              <a:prstDash val="solid"/>
            </a:ln>
          </c:spPr>
          <c:dLbls>
            <c:dLbl>
              <c:idx val="0"/>
              <c:layout>
                <c:manualLayout>
                  <c:x val="1.6257853037653123E-2"/>
                  <c:y val="-2.9455730288624089E-2"/>
                </c:manualLayout>
              </c:layout>
              <c:dLblPos val="outEnd"/>
              <c:showVal val="1"/>
            </c:dLbl>
            <c:dLbl>
              <c:idx val="1"/>
              <c:layout>
                <c:manualLayout>
                  <c:x val="5.8017593723232964E-3"/>
                  <c:y val="-2.1333039733140598E-2"/>
                </c:manualLayout>
              </c:layout>
              <c:dLblPos val="outEnd"/>
              <c:showVal val="1"/>
            </c:dLbl>
            <c:dLbl>
              <c:idx val="2"/>
              <c:layout>
                <c:manualLayout>
                  <c:x val="4.1889930949324241E-3"/>
                  <c:y val="-7.2546182323868199E-3"/>
                </c:manualLayout>
              </c:layout>
              <c:dLblPos val="outEnd"/>
              <c:showVal val="1"/>
            </c:dLbl>
            <c:dLbl>
              <c:idx val="3"/>
              <c:layout>
                <c:manualLayout>
                  <c:x val="1.5235734317964121E-2"/>
                  <c:y val="-6.4654415736807094E-2"/>
                </c:manualLayout>
              </c:layout>
              <c:dLblPos val="outEnd"/>
              <c:showVal val="1"/>
            </c:dLbl>
            <c:dLbl>
              <c:idx val="4"/>
              <c:layout>
                <c:manualLayout>
                  <c:xMode val="edge"/>
                  <c:yMode val="edge"/>
                  <c:x val="0.66509510555063855"/>
                  <c:y val="0.31407997602658316"/>
                </c:manualLayout>
              </c:layout>
              <c:dLblPos val="outEnd"/>
              <c:showVal val="1"/>
            </c:dLbl>
            <c:dLbl>
              <c:idx val="5"/>
              <c:layout>
                <c:manualLayout>
                  <c:xMode val="edge"/>
                  <c:yMode val="edge"/>
                  <c:x val="0.82075566216887486"/>
                  <c:y val="0.36101146669722234"/>
                </c:manualLayout>
              </c:layout>
              <c:dLblPos val="outEnd"/>
              <c:showVal val="1"/>
            </c:dLbl>
            <c:dLbl>
              <c:idx val="6"/>
              <c:layout>
                <c:manualLayout>
                  <c:xMode val="edge"/>
                  <c:yMode val="edge"/>
                  <c:x val="0.9599067658124385"/>
                  <c:y val="0.353791237363277"/>
                </c:manualLayout>
              </c:layout>
              <c:dLblPos val="outEnd"/>
              <c:showVal val="1"/>
            </c:dLbl>
            <c:dLbl>
              <c:idx val="7"/>
              <c:dLblPos val="outEnd"/>
              <c:showVal val="1"/>
            </c:dLbl>
            <c:dLbl>
              <c:idx val="8"/>
              <c:layout>
                <c:manualLayout>
                  <c:xMode val="edge"/>
                  <c:yMode val="edge"/>
                  <c:x val="0.73584990401347405"/>
                  <c:y val="1.8050573334861091E-2"/>
                </c:manualLayout>
              </c:layout>
              <c:dLblPos val="outEnd"/>
              <c:showVal val="1"/>
            </c:dLbl>
            <c:dLbl>
              <c:idx val="9"/>
              <c:layout>
                <c:manualLayout>
                  <c:xMode val="edge"/>
                  <c:yMode val="edge"/>
                  <c:x val="0.82075566216887486"/>
                  <c:y val="1.8050573334861091E-2"/>
                </c:manualLayout>
              </c:layout>
              <c:dLblPos val="outEnd"/>
              <c:showVal val="1"/>
            </c:dLbl>
            <c:dLbl>
              <c:idx val="10"/>
              <c:layout>
                <c:manualLayout>
                  <c:xMode val="edge"/>
                  <c:yMode val="edge"/>
                  <c:x val="0.88679347406751463"/>
                  <c:y val="1.8050573334861091E-2"/>
                </c:manualLayout>
              </c:layout>
              <c:dLblPos val="outEnd"/>
              <c:showVal val="1"/>
            </c:dLbl>
            <c:dLbl>
              <c:idx val="11"/>
              <c:layout>
                <c:manualLayout>
                  <c:xMode val="edge"/>
                  <c:yMode val="edge"/>
                  <c:x val="0.96462375237663356"/>
                  <c:y val="1.8050573334861091E-2"/>
                </c:manualLayout>
              </c:layout>
              <c:dLblPos val="outEnd"/>
              <c:showVal val="1"/>
            </c:dLbl>
            <c:dLbl>
              <c:idx val="12"/>
              <c:layout>
                <c:manualLayout>
                  <c:xMode val="edge"/>
                  <c:yMode val="edge"/>
                  <c:x val="0.40801933780234134"/>
                  <c:y val="0.28880917335777961"/>
                </c:manualLayout>
              </c:layout>
              <c:dLblPos val="outEnd"/>
              <c:showVal val="1"/>
            </c:dLbl>
            <c:dLbl>
              <c:idx val="13"/>
              <c:layout>
                <c:manualLayout>
                  <c:xMode val="edge"/>
                  <c:yMode val="edge"/>
                  <c:x val="0.44339673703375732"/>
                  <c:y val="0.33935077869539004"/>
                </c:manualLayout>
              </c:layout>
              <c:dLblPos val="outEnd"/>
              <c:showVal val="1"/>
            </c:dLbl>
            <c:dLbl>
              <c:idx val="14"/>
              <c:layout>
                <c:manualLayout>
                  <c:xMode val="edge"/>
                  <c:yMode val="edge"/>
                  <c:x val="0.46462317657260732"/>
                  <c:y val="0.27436871468989016"/>
                </c:manualLayout>
              </c:layout>
              <c:dLblPos val="outEnd"/>
              <c:showVal val="1"/>
            </c:dLbl>
            <c:dLbl>
              <c:idx val="15"/>
              <c:layout>
                <c:manualLayout>
                  <c:xMode val="edge"/>
                  <c:yMode val="edge"/>
                  <c:x val="0.52358550862496656"/>
                  <c:y val="0.28519905869080475"/>
                </c:manualLayout>
              </c:layout>
              <c:dLblPos val="outEnd"/>
              <c:showVal val="1"/>
            </c:dLbl>
            <c:dLbl>
              <c:idx val="16"/>
              <c:layout>
                <c:manualLayout>
                  <c:xMode val="edge"/>
                  <c:yMode val="edge"/>
                  <c:x val="0.51886852206078005"/>
                  <c:y val="0.34296089336236263"/>
                </c:manualLayout>
              </c:layout>
              <c:dLblPos val="outEnd"/>
              <c:showVal val="1"/>
            </c:dLbl>
            <c:dLbl>
              <c:idx val="17"/>
              <c:layout>
                <c:manualLayout>
                  <c:xMode val="edge"/>
                  <c:yMode val="edge"/>
                  <c:x val="0.58254784067732956"/>
                  <c:y val="0.27075860002291602"/>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DATOS!$B$6:$E$6</c:f>
              <c:strCache>
                <c:ptCount val="4"/>
                <c:pt idx="0">
                  <c:v>ENE-MAR/14</c:v>
                </c:pt>
                <c:pt idx="1">
                  <c:v>ABR-JUN/14</c:v>
                </c:pt>
                <c:pt idx="2">
                  <c:v>JUL-SEP/14</c:v>
                </c:pt>
                <c:pt idx="3">
                  <c:v>OCT-DIC/14</c:v>
                </c:pt>
              </c:strCache>
            </c:strRef>
          </c:cat>
          <c:val>
            <c:numRef>
              <c:f>DATOS!$B$7:$E$7</c:f>
              <c:numCache>
                <c:formatCode>0%</c:formatCode>
                <c:ptCount val="4"/>
                <c:pt idx="0">
                  <c:v>1</c:v>
                </c:pt>
                <c:pt idx="1">
                  <c:v>1</c:v>
                </c:pt>
                <c:pt idx="2">
                  <c:v>0.93333333333333302</c:v>
                </c:pt>
                <c:pt idx="3">
                  <c:v>1</c:v>
                </c:pt>
              </c:numCache>
            </c:numRef>
          </c:val>
        </c:ser>
        <c:gapWidth val="70"/>
        <c:axId val="167853440"/>
        <c:axId val="167875712"/>
      </c:barChart>
      <c:lineChart>
        <c:grouping val="standard"/>
        <c:ser>
          <c:idx val="1"/>
          <c:order val="1"/>
          <c:tx>
            <c:strRef>
              <c:f>DATOS!$A$8</c:f>
              <c:strCache>
                <c:ptCount val="1"/>
                <c:pt idx="0">
                  <c:v>EXCELENTE</c:v>
                </c:pt>
              </c:strCache>
            </c:strRef>
          </c:tx>
          <c:spPr>
            <a:ln w="25400">
              <a:solidFill>
                <a:srgbClr val="006411"/>
              </a:solidFill>
              <a:prstDash val="solid"/>
            </a:ln>
          </c:spPr>
          <c:marker>
            <c:symbol val="none"/>
          </c:marker>
          <c:cat>
            <c:strRef>
              <c:f>DATOS!$B$6:$E$6</c:f>
              <c:strCache>
                <c:ptCount val="4"/>
                <c:pt idx="0">
                  <c:v>ENE-MAR/14</c:v>
                </c:pt>
                <c:pt idx="1">
                  <c:v>ABR-JUN/14</c:v>
                </c:pt>
                <c:pt idx="2">
                  <c:v>JUL-SEP/14</c:v>
                </c:pt>
                <c:pt idx="3">
                  <c:v>OCT-DIC/14</c:v>
                </c:pt>
              </c:strCache>
            </c:strRef>
          </c:cat>
          <c:val>
            <c:numRef>
              <c:f>DATOS!$B$8:$E$8</c:f>
              <c:numCache>
                <c:formatCode>0%</c:formatCode>
                <c:ptCount val="4"/>
                <c:pt idx="0">
                  <c:v>1</c:v>
                </c:pt>
                <c:pt idx="1">
                  <c:v>1</c:v>
                </c:pt>
                <c:pt idx="2">
                  <c:v>1</c:v>
                </c:pt>
                <c:pt idx="3">
                  <c:v>1</c:v>
                </c:pt>
              </c:numCache>
            </c:numRef>
          </c:val>
        </c:ser>
        <c:ser>
          <c:idx val="2"/>
          <c:order val="2"/>
          <c:tx>
            <c:strRef>
              <c:f>DATOS!$A$9</c:f>
              <c:strCache>
                <c:ptCount val="1"/>
                <c:pt idx="0">
                  <c:v>REGULAR</c:v>
                </c:pt>
              </c:strCache>
            </c:strRef>
          </c:tx>
          <c:spPr>
            <a:ln w="25400">
              <a:solidFill>
                <a:srgbClr val="00ABEA"/>
              </a:solidFill>
              <a:prstDash val="solid"/>
            </a:ln>
          </c:spPr>
          <c:marker>
            <c:symbol val="none"/>
          </c:marker>
          <c:cat>
            <c:strRef>
              <c:f>DATOS!$B$6:$E$6</c:f>
              <c:strCache>
                <c:ptCount val="4"/>
                <c:pt idx="0">
                  <c:v>ENE-MAR/14</c:v>
                </c:pt>
                <c:pt idx="1">
                  <c:v>ABR-JUN/14</c:v>
                </c:pt>
                <c:pt idx="2">
                  <c:v>JUL-SEP/14</c:v>
                </c:pt>
                <c:pt idx="3">
                  <c:v>OCT-DIC/14</c:v>
                </c:pt>
              </c:strCache>
            </c:strRef>
          </c:cat>
          <c:val>
            <c:numRef>
              <c:f>DATOS!$B$9:$E$9</c:f>
              <c:numCache>
                <c:formatCode>0%</c:formatCode>
                <c:ptCount val="4"/>
                <c:pt idx="0">
                  <c:v>0.8</c:v>
                </c:pt>
                <c:pt idx="1">
                  <c:v>0.8</c:v>
                </c:pt>
                <c:pt idx="2">
                  <c:v>0.8</c:v>
                </c:pt>
                <c:pt idx="3">
                  <c:v>0.8</c:v>
                </c:pt>
              </c:numCache>
            </c:numRef>
          </c:val>
          <c:smooth val="1"/>
        </c:ser>
        <c:ser>
          <c:idx val="3"/>
          <c:order val="3"/>
          <c:tx>
            <c:strRef>
              <c:f>DATOS!$A$10</c:f>
              <c:strCache>
                <c:ptCount val="1"/>
                <c:pt idx="0">
                  <c:v>DEFICIENTE</c:v>
                </c:pt>
              </c:strCache>
            </c:strRef>
          </c:tx>
          <c:spPr>
            <a:ln w="25400">
              <a:solidFill>
                <a:srgbClr val="DD0806"/>
              </a:solidFill>
              <a:prstDash val="solid"/>
            </a:ln>
          </c:spPr>
          <c:marker>
            <c:symbol val="none"/>
          </c:marker>
          <c:cat>
            <c:strRef>
              <c:f>DATOS!$B$6:$E$6</c:f>
              <c:strCache>
                <c:ptCount val="4"/>
                <c:pt idx="0">
                  <c:v>ENE-MAR/14</c:v>
                </c:pt>
                <c:pt idx="1">
                  <c:v>ABR-JUN/14</c:v>
                </c:pt>
                <c:pt idx="2">
                  <c:v>JUL-SEP/14</c:v>
                </c:pt>
                <c:pt idx="3">
                  <c:v>OCT-DIC/14</c:v>
                </c:pt>
              </c:strCache>
            </c:strRef>
          </c:cat>
          <c:val>
            <c:numRef>
              <c:f>DATOS!$B$10:$E$10</c:f>
              <c:numCache>
                <c:formatCode>0%</c:formatCode>
                <c:ptCount val="4"/>
                <c:pt idx="0">
                  <c:v>0.70000000000000062</c:v>
                </c:pt>
                <c:pt idx="1">
                  <c:v>0.70000000000000062</c:v>
                </c:pt>
                <c:pt idx="2">
                  <c:v>0.70000000000000062</c:v>
                </c:pt>
                <c:pt idx="3">
                  <c:v>0.70000000000000062</c:v>
                </c:pt>
              </c:numCache>
            </c:numRef>
          </c:val>
        </c:ser>
        <c:marker val="1"/>
        <c:axId val="167853440"/>
        <c:axId val="167875712"/>
      </c:lineChart>
      <c:catAx>
        <c:axId val="167853440"/>
        <c:scaling>
          <c:orientation val="minMax"/>
        </c:scaling>
        <c:axPos val="b"/>
        <c:numFmt formatCode="mmm\-yy"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7875712"/>
        <c:crosses val="autoZero"/>
        <c:auto val="1"/>
        <c:lblAlgn val="ctr"/>
        <c:lblOffset val="100"/>
        <c:tickLblSkip val="1"/>
        <c:tickMarkSkip val="1"/>
      </c:catAx>
      <c:valAx>
        <c:axId val="167875712"/>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7853440"/>
        <c:crosses val="autoZero"/>
        <c:crossBetween val="between"/>
        <c:minorUnit val="0.1"/>
      </c:valAx>
      <c:spPr>
        <a:noFill/>
        <a:ln w="25400">
          <a:noFill/>
        </a:ln>
      </c:spPr>
    </c:plotArea>
    <c:legend>
      <c:legendPos val="r"/>
      <c:layout>
        <c:manualLayout>
          <c:xMode val="edge"/>
          <c:yMode val="edge"/>
          <c:x val="0.72272593942895502"/>
          <c:y val="0.17208361645149711"/>
          <c:w val="0.24497147108792658"/>
          <c:h val="0.78702905791598465"/>
        </c:manualLayout>
      </c:layout>
      <c:spPr>
        <a:solidFill>
          <a:srgbClr val="FFFFFF"/>
        </a:solidFill>
        <a:ln w="3175">
          <a:solidFill>
            <a:srgbClr val="000000"/>
          </a:solidFill>
          <a:prstDash val="solid"/>
        </a:ln>
      </c:spPr>
      <c:txPr>
        <a:bodyPr/>
        <a:lstStyle/>
        <a:p>
          <a:pPr>
            <a:defRPr sz="50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200" b="1"/>
            </a:pPr>
            <a:r>
              <a:rPr lang="es-CO" sz="1200" b="1"/>
              <a:t>% AVANCE PLANES DE MEJORAMIENTO CONTRALORIA</a:t>
            </a:r>
          </a:p>
        </c:rich>
      </c:tx>
    </c:title>
    <c:plotArea>
      <c:layout>
        <c:manualLayout>
          <c:layoutTarget val="inner"/>
          <c:xMode val="edge"/>
          <c:yMode val="edge"/>
          <c:x val="0.12235294117647109"/>
          <c:y val="0.17500030517631382"/>
          <c:w val="0.60095692795863198"/>
          <c:h val="0.48571513273425831"/>
        </c:manualLayout>
      </c:layout>
      <c:barChart>
        <c:barDir val="col"/>
        <c:grouping val="clustered"/>
        <c:ser>
          <c:idx val="0"/>
          <c:order val="0"/>
          <c:tx>
            <c:strRef>
              <c:f>DATOS!$A$21</c:f>
              <c:strCache>
                <c:ptCount val="1"/>
                <c:pt idx="0">
                  <c:v>% AVANCE PLANES DE MEJORAMIENTO CONTRALORIA</c:v>
                </c:pt>
              </c:strCache>
            </c:strRef>
          </c:tx>
          <c:spPr>
            <a:solidFill>
              <a:srgbClr val="006411"/>
            </a:solidFill>
            <a:ln w="12700">
              <a:solidFill>
                <a:srgbClr val="000000"/>
              </a:solidFill>
              <a:prstDash val="solid"/>
            </a:ln>
          </c:spPr>
          <c:dLbls>
            <c:dLbl>
              <c:idx val="0"/>
              <c:layout>
                <c:manualLayout>
                  <c:x val="6.2172468706532015E-3"/>
                  <c:y val="-9.3119957795750226E-3"/>
                </c:manualLayout>
              </c:layout>
              <c:dLblPos val="outEnd"/>
              <c:showVal val="1"/>
            </c:dLbl>
            <c:dLbl>
              <c:idx val="1"/>
              <c:layout>
                <c:manualLayout>
                  <c:x val="4.6917921667558524E-3"/>
                  <c:y val="1.1155630339163198E-6"/>
                </c:manualLayout>
              </c:layout>
              <c:dLblPos val="outEnd"/>
              <c:showVal val="1"/>
            </c:dLbl>
            <c:dLbl>
              <c:idx val="2"/>
              <c:layout>
                <c:manualLayout>
                  <c:x val="-5.1185349404139855E-3"/>
                  <c:y val="-1.6445258392287807E-2"/>
                </c:manualLayout>
              </c:layout>
              <c:dLblPos val="outEnd"/>
              <c:showVal val="1"/>
            </c:dLbl>
            <c:dLbl>
              <c:idx val="3"/>
              <c:layout>
                <c:manualLayout>
                  <c:x val="1.9478633132023521E-3"/>
                  <c:y val="1.9488886203274677E-3"/>
                </c:manualLayout>
              </c:layout>
              <c:dLblPos val="outEnd"/>
              <c:showVal val="1"/>
            </c:dLbl>
            <c:dLbl>
              <c:idx val="4"/>
              <c:layout>
                <c:manualLayout>
                  <c:xMode val="edge"/>
                  <c:yMode val="edge"/>
                  <c:x val="0.69411764705882362"/>
                  <c:y val="0.43214361074150875"/>
                </c:manualLayout>
              </c:layout>
              <c:dLblPos val="outEnd"/>
              <c:showVal val="1"/>
            </c:dLbl>
            <c:dLbl>
              <c:idx val="5"/>
              <c:layout>
                <c:manualLayout>
                  <c:xMode val="edge"/>
                  <c:yMode val="edge"/>
                  <c:x val="0.80235294117647049"/>
                  <c:y val="0.33928630595408044"/>
                </c:manualLayout>
              </c:layout>
              <c:dLblPos val="outEnd"/>
              <c:showVal val="1"/>
            </c:dLbl>
            <c:dLbl>
              <c:idx val="6"/>
              <c:layout>
                <c:manualLayout>
                  <c:xMode val="edge"/>
                  <c:yMode val="edge"/>
                  <c:x val="0.95764705882353263"/>
                  <c:y val="0.3357148711545635"/>
                </c:manualLayout>
              </c:layout>
              <c:dLblPos val="outEnd"/>
              <c:showVal val="1"/>
            </c:dLbl>
            <c:dLbl>
              <c:idx val="7"/>
              <c:dLblPos val="outEnd"/>
              <c:showVal val="1"/>
            </c:dLbl>
            <c:dLbl>
              <c:idx val="8"/>
              <c:layout>
                <c:manualLayout>
                  <c:xMode val="edge"/>
                  <c:yMode val="edge"/>
                  <c:x val="0.73411764705882365"/>
                  <c:y val="1.7857173997583027E-2"/>
                </c:manualLayout>
              </c:layout>
              <c:dLblPos val="outEnd"/>
              <c:showVal val="1"/>
            </c:dLbl>
            <c:dLbl>
              <c:idx val="9"/>
              <c:layout>
                <c:manualLayout>
                  <c:xMode val="edge"/>
                  <c:yMode val="edge"/>
                  <c:x val="0.81882352941176451"/>
                  <c:y val="1.7857173997583027E-2"/>
                </c:manualLayout>
              </c:layout>
              <c:dLblPos val="outEnd"/>
              <c:showVal val="1"/>
            </c:dLbl>
            <c:dLbl>
              <c:idx val="10"/>
              <c:layout>
                <c:manualLayout>
                  <c:xMode val="edge"/>
                  <c:yMode val="edge"/>
                  <c:x val="0.88470588235294101"/>
                  <c:y val="1.7857173997583027E-2"/>
                </c:manualLayout>
              </c:layout>
              <c:dLblPos val="outEnd"/>
              <c:showVal val="1"/>
            </c:dLbl>
            <c:dLbl>
              <c:idx val="11"/>
              <c:layout>
                <c:manualLayout>
                  <c:xMode val="edge"/>
                  <c:yMode val="edge"/>
                  <c:x val="0.96235294117647097"/>
                  <c:y val="1.7857173997583027E-2"/>
                </c:manualLayout>
              </c:layout>
              <c:dLblPos val="outEnd"/>
              <c:showVal val="1"/>
            </c:dLbl>
            <c:dLbl>
              <c:idx val="12"/>
              <c:layout>
                <c:manualLayout>
                  <c:xMode val="edge"/>
                  <c:yMode val="edge"/>
                  <c:x val="0.40705882352941375"/>
                  <c:y val="0.28571478396132832"/>
                </c:manualLayout>
              </c:layout>
              <c:dLblPos val="outEnd"/>
              <c:showVal val="1"/>
            </c:dLbl>
            <c:dLbl>
              <c:idx val="13"/>
              <c:layout>
                <c:manualLayout>
                  <c:xMode val="edge"/>
                  <c:yMode val="edge"/>
                  <c:x val="0.44235294117647234"/>
                  <c:y val="0.3357148711545635"/>
                </c:manualLayout>
              </c:layout>
              <c:dLblPos val="outEnd"/>
              <c:showVal val="1"/>
            </c:dLbl>
            <c:dLbl>
              <c:idx val="14"/>
              <c:layout>
                <c:manualLayout>
                  <c:xMode val="edge"/>
                  <c:yMode val="edge"/>
                  <c:x val="0.46352941176470752"/>
                  <c:y val="0.27142904476326202"/>
                </c:manualLayout>
              </c:layout>
              <c:dLblPos val="outEnd"/>
              <c:showVal val="1"/>
            </c:dLbl>
            <c:dLbl>
              <c:idx val="15"/>
              <c:layout>
                <c:manualLayout>
                  <c:xMode val="edge"/>
                  <c:yMode val="edge"/>
                  <c:x val="0.52235294117647058"/>
                  <c:y val="0.282143349161811"/>
                </c:manualLayout>
              </c:layout>
              <c:dLblPos val="outEnd"/>
              <c:showVal val="1"/>
            </c:dLbl>
            <c:dLbl>
              <c:idx val="16"/>
              <c:layout>
                <c:manualLayout>
                  <c:xMode val="edge"/>
                  <c:yMode val="edge"/>
                  <c:x val="0.51764705882353168"/>
                  <c:y val="0.33928630595408044"/>
                </c:manualLayout>
              </c:layout>
              <c:dLblPos val="outEnd"/>
              <c:showVal val="1"/>
            </c:dLbl>
            <c:dLbl>
              <c:idx val="17"/>
              <c:layout>
                <c:manualLayout>
                  <c:xMode val="edge"/>
                  <c:yMode val="edge"/>
                  <c:x val="0.58117647058823496"/>
                  <c:y val="0.26785760996374652"/>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DATOS!$B$20:$E$20</c:f>
              <c:strCache>
                <c:ptCount val="4"/>
                <c:pt idx="0">
                  <c:v>ENE-MAR/14</c:v>
                </c:pt>
                <c:pt idx="1">
                  <c:v>ABR-JUN/14</c:v>
                </c:pt>
                <c:pt idx="2">
                  <c:v>JUL-SEP/14</c:v>
                </c:pt>
                <c:pt idx="3">
                  <c:v>OCT-DIC/14</c:v>
                </c:pt>
              </c:strCache>
            </c:strRef>
          </c:cat>
          <c:val>
            <c:numRef>
              <c:f>DATOS!$B$21:$E$21</c:f>
              <c:numCache>
                <c:formatCode>0%</c:formatCode>
                <c:ptCount val="4"/>
                <c:pt idx="0">
                  <c:v>1</c:v>
                </c:pt>
                <c:pt idx="1">
                  <c:v>1</c:v>
                </c:pt>
                <c:pt idx="2">
                  <c:v>1</c:v>
                </c:pt>
                <c:pt idx="3">
                  <c:v>1</c:v>
                </c:pt>
              </c:numCache>
            </c:numRef>
          </c:val>
        </c:ser>
        <c:gapWidth val="70"/>
        <c:axId val="168488960"/>
        <c:axId val="168490496"/>
      </c:barChart>
      <c:lineChart>
        <c:grouping val="standard"/>
        <c:ser>
          <c:idx val="1"/>
          <c:order val="1"/>
          <c:tx>
            <c:strRef>
              <c:f>DATOS!$A$22</c:f>
              <c:strCache>
                <c:ptCount val="1"/>
                <c:pt idx="0">
                  <c:v>EXCELENTE</c:v>
                </c:pt>
              </c:strCache>
            </c:strRef>
          </c:tx>
          <c:spPr>
            <a:ln w="25400">
              <a:solidFill>
                <a:srgbClr val="006411"/>
              </a:solidFill>
              <a:prstDash val="solid"/>
            </a:ln>
          </c:spPr>
          <c:marker>
            <c:symbol val="none"/>
          </c:marker>
          <c:cat>
            <c:strRef>
              <c:f>DATOS!$B$20:$E$20</c:f>
              <c:strCache>
                <c:ptCount val="4"/>
                <c:pt idx="0">
                  <c:v>ENE-MAR/14</c:v>
                </c:pt>
                <c:pt idx="1">
                  <c:v>ABR-JUN/14</c:v>
                </c:pt>
                <c:pt idx="2">
                  <c:v>JUL-SEP/14</c:v>
                </c:pt>
                <c:pt idx="3">
                  <c:v>OCT-DIC/14</c:v>
                </c:pt>
              </c:strCache>
            </c:strRef>
          </c:cat>
          <c:val>
            <c:numRef>
              <c:f>DATOS!$B$22:$E$22</c:f>
              <c:numCache>
                <c:formatCode>0%</c:formatCode>
                <c:ptCount val="4"/>
                <c:pt idx="0">
                  <c:v>1</c:v>
                </c:pt>
                <c:pt idx="1">
                  <c:v>1</c:v>
                </c:pt>
                <c:pt idx="2">
                  <c:v>1</c:v>
                </c:pt>
                <c:pt idx="3">
                  <c:v>1</c:v>
                </c:pt>
              </c:numCache>
            </c:numRef>
          </c:val>
        </c:ser>
        <c:ser>
          <c:idx val="2"/>
          <c:order val="2"/>
          <c:tx>
            <c:strRef>
              <c:f>DATOS!$A$23</c:f>
              <c:strCache>
                <c:ptCount val="1"/>
                <c:pt idx="0">
                  <c:v>REGULAR</c:v>
                </c:pt>
              </c:strCache>
            </c:strRef>
          </c:tx>
          <c:spPr>
            <a:ln w="25400">
              <a:solidFill>
                <a:srgbClr val="00ABEA"/>
              </a:solidFill>
              <a:prstDash val="solid"/>
            </a:ln>
          </c:spPr>
          <c:marker>
            <c:symbol val="none"/>
          </c:marker>
          <c:cat>
            <c:strRef>
              <c:f>DATOS!$B$20:$E$20</c:f>
              <c:strCache>
                <c:ptCount val="4"/>
                <c:pt idx="0">
                  <c:v>ENE-MAR/14</c:v>
                </c:pt>
                <c:pt idx="1">
                  <c:v>ABR-JUN/14</c:v>
                </c:pt>
                <c:pt idx="2">
                  <c:v>JUL-SEP/14</c:v>
                </c:pt>
                <c:pt idx="3">
                  <c:v>OCT-DIC/14</c:v>
                </c:pt>
              </c:strCache>
            </c:strRef>
          </c:cat>
          <c:val>
            <c:numRef>
              <c:f>DATOS!$B$23:$E$23</c:f>
              <c:numCache>
                <c:formatCode>0%</c:formatCode>
                <c:ptCount val="4"/>
                <c:pt idx="0">
                  <c:v>0.8</c:v>
                </c:pt>
                <c:pt idx="1">
                  <c:v>0.8</c:v>
                </c:pt>
                <c:pt idx="2">
                  <c:v>0.8</c:v>
                </c:pt>
                <c:pt idx="3">
                  <c:v>0.8</c:v>
                </c:pt>
              </c:numCache>
            </c:numRef>
          </c:val>
          <c:smooth val="1"/>
        </c:ser>
        <c:ser>
          <c:idx val="3"/>
          <c:order val="3"/>
          <c:tx>
            <c:strRef>
              <c:f>DATOS!$A$24</c:f>
              <c:strCache>
                <c:ptCount val="1"/>
                <c:pt idx="0">
                  <c:v>DEFICIENTE</c:v>
                </c:pt>
              </c:strCache>
            </c:strRef>
          </c:tx>
          <c:spPr>
            <a:ln w="25400">
              <a:solidFill>
                <a:srgbClr val="DD0806"/>
              </a:solidFill>
              <a:prstDash val="solid"/>
            </a:ln>
          </c:spPr>
          <c:marker>
            <c:symbol val="none"/>
          </c:marker>
          <c:cat>
            <c:strRef>
              <c:f>DATOS!$B$20:$E$20</c:f>
              <c:strCache>
                <c:ptCount val="4"/>
                <c:pt idx="0">
                  <c:v>ENE-MAR/14</c:v>
                </c:pt>
                <c:pt idx="1">
                  <c:v>ABR-JUN/14</c:v>
                </c:pt>
                <c:pt idx="2">
                  <c:v>JUL-SEP/14</c:v>
                </c:pt>
                <c:pt idx="3">
                  <c:v>OCT-DIC/14</c:v>
                </c:pt>
              </c:strCache>
            </c:strRef>
          </c:cat>
          <c:val>
            <c:numRef>
              <c:f>DATOS!$B$24:$E$24</c:f>
              <c:numCache>
                <c:formatCode>0%</c:formatCode>
                <c:ptCount val="4"/>
                <c:pt idx="0">
                  <c:v>0.70000000000000062</c:v>
                </c:pt>
                <c:pt idx="1">
                  <c:v>0.70000000000000062</c:v>
                </c:pt>
                <c:pt idx="2">
                  <c:v>0.70000000000000062</c:v>
                </c:pt>
                <c:pt idx="3">
                  <c:v>0.70000000000000062</c:v>
                </c:pt>
              </c:numCache>
            </c:numRef>
          </c:val>
        </c:ser>
        <c:marker val="1"/>
        <c:axId val="168488960"/>
        <c:axId val="168490496"/>
      </c:lineChart>
      <c:catAx>
        <c:axId val="168488960"/>
        <c:scaling>
          <c:orientation val="minMax"/>
        </c:scaling>
        <c:axPos val="b"/>
        <c:numFmt formatCode="mmm\-yy"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8490496"/>
        <c:crosses val="autoZero"/>
        <c:auto val="1"/>
        <c:lblAlgn val="ctr"/>
        <c:lblOffset val="100"/>
        <c:tickLblSkip val="1"/>
        <c:tickMarkSkip val="1"/>
      </c:catAx>
      <c:valAx>
        <c:axId val="168490496"/>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488960"/>
        <c:crosses val="autoZero"/>
        <c:crossBetween val="between"/>
        <c:minorUnit val="0.1"/>
      </c:valAx>
      <c:spPr>
        <a:noFill/>
        <a:ln w="25400">
          <a:noFill/>
        </a:ln>
      </c:spPr>
    </c:plotArea>
    <c:legend>
      <c:legendPos val="r"/>
      <c:layout>
        <c:manualLayout>
          <c:xMode val="edge"/>
          <c:yMode val="edge"/>
          <c:x val="0.72110390874099128"/>
          <c:y val="0.21031210604034248"/>
          <c:w val="0.2500491787930525"/>
          <c:h val="0.6785388084504127"/>
        </c:manualLayout>
      </c:layout>
      <c:spPr>
        <a:solidFill>
          <a:srgbClr val="FFFFFF"/>
        </a:solidFill>
        <a:ln w="3175">
          <a:solidFill>
            <a:srgbClr val="000000"/>
          </a:solidFill>
          <a:prstDash val="solid"/>
        </a:ln>
      </c:spPr>
      <c:txPr>
        <a:bodyPr/>
        <a:lstStyle/>
        <a:p>
          <a:pPr>
            <a:defRPr sz="50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CREDITOS</a:t>
            </a:r>
            <a:r>
              <a:rPr lang="es-CO" sz="1400" b="1" baseline="0"/>
              <a:t> DESEMBOLSADOS EDUCACION</a:t>
            </a:r>
            <a:endParaRPr lang="es-CO" sz="1400" b="1"/>
          </a:p>
        </c:rich>
      </c:tx>
    </c:title>
    <c:plotArea>
      <c:layout/>
      <c:barChart>
        <c:barDir val="col"/>
        <c:grouping val="clustered"/>
        <c:ser>
          <c:idx val="0"/>
          <c:order val="0"/>
          <c:tx>
            <c:strRef>
              <c:f>DATOS!$A$22</c:f>
              <c:strCache>
                <c:ptCount val="1"/>
                <c:pt idx="0">
                  <c:v>CREDITOS DESEMBOLSADOS EDUCACION </c:v>
                </c:pt>
              </c:strCache>
            </c:strRef>
          </c:tx>
          <c:spPr>
            <a:solidFill>
              <a:srgbClr val="008000"/>
            </a:solidFill>
            <a:ln w="12700">
              <a:solidFill>
                <a:srgbClr val="000000"/>
              </a:solidFill>
              <a:prstDash val="solid"/>
            </a:ln>
          </c:spPr>
          <c:dLbls>
            <c:dLbl>
              <c:idx val="1"/>
              <c:layout>
                <c:manualLayout>
                  <c:x val="0"/>
                  <c:y val="9.8981840339528268E-2"/>
                </c:manualLayout>
              </c:layout>
              <c:showVal val="1"/>
            </c:dLbl>
            <c:dLbl>
              <c:idx val="5"/>
              <c:layout>
                <c:manualLayout>
                  <c:x val="1.8502317524535645E-2"/>
                  <c:y val="1.3497523682663009E-2"/>
                </c:manualLayout>
              </c:layout>
              <c:showVal val="1"/>
            </c:dLbl>
            <c:dLbl>
              <c:idx val="8"/>
              <c:layout>
                <c:manualLayout>
                  <c:x val="1.8502317524535603E-2"/>
                  <c:y val="2.2495872804438252E-2"/>
                </c:manualLayout>
              </c:layout>
              <c:showVal val="1"/>
            </c:dLbl>
            <c:dLbl>
              <c:idx val="9"/>
              <c:layout>
                <c:manualLayout>
                  <c:x val="-0.11332669483778057"/>
                  <c:y val="-1.7996698243550591E-2"/>
                </c:manualLayout>
              </c:layout>
              <c:showVal val="1"/>
            </c:dLbl>
            <c:dLbl>
              <c:idx val="10"/>
              <c:layout>
                <c:manualLayout>
                  <c:x val="2.5440686596236443E-2"/>
                  <c:y val="-1.3497523682663009E-2"/>
                </c:manualLayout>
              </c:layout>
              <c:showVal val="1"/>
            </c:dLbl>
            <c:txPr>
              <a:bodyPr/>
              <a:lstStyle/>
              <a:p>
                <a:pPr>
                  <a:defRPr sz="600"/>
                </a:pPr>
                <a:endParaRPr lang="es-ES"/>
              </a:p>
            </c:txPr>
            <c:showVal val="1"/>
          </c:dLbls>
          <c:cat>
            <c:strRef>
              <c:f>DATOS!$B$21:$AC$21</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DATOS!$B$22:$AC$22</c:f>
              <c:numCache>
                <c:formatCode>[$$-240A]\ #,##0</c:formatCode>
                <c:ptCount val="8"/>
                <c:pt idx="0">
                  <c:v>1233707993</c:v>
                </c:pt>
                <c:pt idx="1">
                  <c:v>1275199888</c:v>
                </c:pt>
                <c:pt idx="2">
                  <c:v>551614369</c:v>
                </c:pt>
                <c:pt idx="3">
                  <c:v>0</c:v>
                </c:pt>
                <c:pt idx="4" formatCode="_(&quot;$&quot;* #,##0_);_(&quot;$&quot;* \(#,##0\);_(&quot;$&quot;* &quot;-&quot;??_);_(@_)">
                  <c:v>81833296</c:v>
                </c:pt>
                <c:pt idx="5" formatCode="_(&quot;$&quot;* #,##0_);_(&quot;$&quot;* \(#,##0\);_(&quot;$&quot;* &quot;-&quot;??_);_(@_)">
                  <c:v>417467026</c:v>
                </c:pt>
                <c:pt idx="6" formatCode="_(&quot;$&quot;* #,##0_);_(&quot;$&quot;* \(#,##0\);_(&quot;$&quot;* &quot;-&quot;??_);_(@_)">
                  <c:v>161526181</c:v>
                </c:pt>
                <c:pt idx="7">
                  <c:v>371441671</c:v>
                </c:pt>
              </c:numCache>
            </c:numRef>
          </c:val>
        </c:ser>
        <c:gapWidth val="300"/>
        <c:axId val="164501376"/>
        <c:axId val="164502912"/>
      </c:barChart>
      <c:lineChart>
        <c:grouping val="standard"/>
        <c:ser>
          <c:idx val="1"/>
          <c:order val="1"/>
          <c:tx>
            <c:strRef>
              <c:f>DATOS!$A$23</c:f>
              <c:strCache>
                <c:ptCount val="1"/>
                <c:pt idx="0">
                  <c:v>EXCELENTE</c:v>
                </c:pt>
              </c:strCache>
            </c:strRef>
          </c:tx>
          <c:spPr>
            <a:ln w="25400">
              <a:solidFill>
                <a:srgbClr val="92D050"/>
              </a:solidFill>
              <a:prstDash val="solid"/>
            </a:ln>
          </c:spPr>
          <c:marker>
            <c:symbol val="none"/>
          </c:marker>
          <c:cat>
            <c:strRef>
              <c:f>DATOS!$B$21:$AC$21</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DATOS!$B$23:$AC$23</c:f>
              <c:numCache>
                <c:formatCode>[$$-240A]\ #,##0</c:formatCode>
                <c:ptCount val="8"/>
                <c:pt idx="0">
                  <c:v>500000000</c:v>
                </c:pt>
                <c:pt idx="1">
                  <c:v>500000000</c:v>
                </c:pt>
                <c:pt idx="2">
                  <c:v>500000000</c:v>
                </c:pt>
                <c:pt idx="3">
                  <c:v>500000000</c:v>
                </c:pt>
                <c:pt idx="4">
                  <c:v>500000000</c:v>
                </c:pt>
                <c:pt idx="5">
                  <c:v>500000000</c:v>
                </c:pt>
                <c:pt idx="6">
                  <c:v>500000000</c:v>
                </c:pt>
                <c:pt idx="7">
                  <c:v>500000000</c:v>
                </c:pt>
              </c:numCache>
            </c:numRef>
          </c:val>
        </c:ser>
        <c:ser>
          <c:idx val="2"/>
          <c:order val="2"/>
          <c:tx>
            <c:strRef>
              <c:f>DATOS!$A$24</c:f>
              <c:strCache>
                <c:ptCount val="1"/>
                <c:pt idx="0">
                  <c:v>REGULAR</c:v>
                </c:pt>
              </c:strCache>
            </c:strRef>
          </c:tx>
          <c:spPr>
            <a:ln w="25400">
              <a:solidFill>
                <a:srgbClr val="00ABEA"/>
              </a:solidFill>
              <a:prstDash val="solid"/>
            </a:ln>
          </c:spPr>
          <c:marker>
            <c:symbol val="none"/>
          </c:marker>
          <c:cat>
            <c:strRef>
              <c:f>DATOS!$B$21:$AC$21</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DATOS!$B$24:$AC$24</c:f>
              <c:numCache>
                <c:formatCode>[$$-240A]\ #,##0</c:formatCode>
                <c:ptCount val="8"/>
                <c:pt idx="0">
                  <c:v>400000000</c:v>
                </c:pt>
                <c:pt idx="1">
                  <c:v>400000000</c:v>
                </c:pt>
                <c:pt idx="2">
                  <c:v>400000000</c:v>
                </c:pt>
                <c:pt idx="3">
                  <c:v>400000000</c:v>
                </c:pt>
                <c:pt idx="4">
                  <c:v>400000000</c:v>
                </c:pt>
                <c:pt idx="5">
                  <c:v>400000000</c:v>
                </c:pt>
                <c:pt idx="6">
                  <c:v>400000000</c:v>
                </c:pt>
                <c:pt idx="7">
                  <c:v>400000000</c:v>
                </c:pt>
              </c:numCache>
            </c:numRef>
          </c:val>
        </c:ser>
        <c:ser>
          <c:idx val="3"/>
          <c:order val="3"/>
          <c:tx>
            <c:strRef>
              <c:f>DATOS!$A$25</c:f>
              <c:strCache>
                <c:ptCount val="1"/>
                <c:pt idx="0">
                  <c:v>DEFICIENTE</c:v>
                </c:pt>
              </c:strCache>
            </c:strRef>
          </c:tx>
          <c:spPr>
            <a:ln w="25400">
              <a:solidFill>
                <a:srgbClr val="DD0806"/>
              </a:solidFill>
              <a:prstDash val="solid"/>
            </a:ln>
          </c:spPr>
          <c:marker>
            <c:symbol val="none"/>
          </c:marker>
          <c:cat>
            <c:strRef>
              <c:f>DATOS!$B$21:$AC$21</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DATOS!$B$25:$AC$25</c:f>
              <c:numCache>
                <c:formatCode>[$$-240A]\ #,##0</c:formatCode>
                <c:ptCount val="8"/>
                <c:pt idx="0">
                  <c:v>300000000</c:v>
                </c:pt>
                <c:pt idx="1">
                  <c:v>300000000</c:v>
                </c:pt>
                <c:pt idx="2">
                  <c:v>300000000</c:v>
                </c:pt>
                <c:pt idx="3">
                  <c:v>300000000</c:v>
                </c:pt>
                <c:pt idx="4">
                  <c:v>300000000</c:v>
                </c:pt>
                <c:pt idx="5">
                  <c:v>300000000</c:v>
                </c:pt>
                <c:pt idx="6">
                  <c:v>300000000</c:v>
                </c:pt>
                <c:pt idx="7">
                  <c:v>300000000</c:v>
                </c:pt>
              </c:numCache>
            </c:numRef>
          </c:val>
        </c:ser>
        <c:marker val="1"/>
        <c:axId val="164501376"/>
        <c:axId val="164502912"/>
      </c:lineChart>
      <c:catAx>
        <c:axId val="164501376"/>
        <c:scaling>
          <c:orientation val="minMax"/>
        </c:scaling>
        <c:axPos val="b"/>
        <c:numFmt formatCode="mmm/yy" sourceLinked="1"/>
        <c:majorTickMark val="none"/>
        <c:tickLblPos val="nextTo"/>
        <c:spPr>
          <a:ln w="3175">
            <a:solidFill>
              <a:srgbClr val="000000"/>
            </a:solidFill>
            <a:prstDash val="solid"/>
          </a:ln>
        </c:spPr>
        <c:txPr>
          <a:bodyPr rot="-5400000" vert="horz"/>
          <a:lstStyle/>
          <a:p>
            <a:pPr>
              <a:defRPr lang="es-CO" sz="600" b="1" i="0" u="none" strike="noStrike" baseline="0">
                <a:solidFill>
                  <a:srgbClr val="000000"/>
                </a:solidFill>
                <a:latin typeface="Arial"/>
                <a:ea typeface="Arial"/>
                <a:cs typeface="Arial"/>
              </a:defRPr>
            </a:pPr>
            <a:endParaRPr lang="es-ES"/>
          </a:p>
        </c:txPr>
        <c:crossAx val="164502912"/>
        <c:crosses val="autoZero"/>
        <c:auto val="1"/>
        <c:lblAlgn val="ctr"/>
        <c:lblOffset val="100"/>
        <c:tickLblSkip val="1"/>
        <c:tickMarkSkip val="1"/>
      </c:catAx>
      <c:valAx>
        <c:axId val="164502912"/>
        <c:scaling>
          <c:orientation val="minMax"/>
          <c:max val="1500000000"/>
          <c:min val="0"/>
        </c:scaling>
        <c:axPos val="l"/>
        <c:majorGridlines/>
        <c:numFmt formatCode="[$$-240A]\ #,##0" sourceLinked="0"/>
        <c:tickLblPos val="nextTo"/>
        <c:spPr>
          <a:ln w="3175">
            <a:solidFill>
              <a:srgbClr val="000000"/>
            </a:solidFill>
            <a:prstDash val="solid"/>
          </a:ln>
        </c:spPr>
        <c:txPr>
          <a:bodyPr rot="0" vert="horz"/>
          <a:lstStyle/>
          <a:p>
            <a:pPr>
              <a:defRPr lang="es-CO" sz="800" b="0" i="0" u="none" strike="noStrike" baseline="0">
                <a:solidFill>
                  <a:srgbClr val="000000"/>
                </a:solidFill>
                <a:latin typeface="Arial"/>
                <a:ea typeface="Arial"/>
                <a:cs typeface="Arial"/>
              </a:defRPr>
            </a:pPr>
            <a:endParaRPr lang="es-ES"/>
          </a:p>
        </c:txPr>
        <c:crossAx val="164501376"/>
        <c:crosses val="autoZero"/>
        <c:crossBetween val="between"/>
        <c:majorUnit val="100000000"/>
        <c:minorUnit val="50000000"/>
      </c:valAx>
      <c:spPr>
        <a:noFill/>
        <a:ln w="25400">
          <a:noFill/>
        </a:ln>
      </c:spPr>
    </c:plotArea>
    <c:legend>
      <c:legendPos val="r"/>
      <c:layout>
        <c:manualLayout>
          <c:xMode val="edge"/>
          <c:yMode val="edge"/>
          <c:x val="0.7052001710371717"/>
          <c:y val="0.10782006135882156"/>
          <c:w val="0.21153940010241931"/>
          <c:h val="0.46941765802022151"/>
        </c:manualLayout>
      </c:layout>
      <c:spPr>
        <a:solidFill>
          <a:srgbClr val="FFFFFF"/>
        </a:solidFill>
        <a:ln w="25400">
          <a:noFill/>
        </a:ln>
      </c:spPr>
      <c:txPr>
        <a:bodyPr/>
        <a:lstStyle/>
        <a:p>
          <a:pPr>
            <a:defRPr lang="es-CO" sz="50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50" b="0" i="0" u="none" strike="noStrike" baseline="0">
          <a:solidFill>
            <a:srgbClr val="000000"/>
          </a:solidFill>
          <a:latin typeface="Arial"/>
          <a:ea typeface="Arial"/>
          <a:cs typeface="Arial"/>
        </a:defRPr>
      </a:pPr>
      <a:endParaRPr lang="es-E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 CUMPLIMIENTO</a:t>
            </a:r>
            <a:r>
              <a:rPr lang="es-CO" sz="1400" b="1" baseline="0"/>
              <a:t> PROGRAMA DE AUDITORIA Y ENCUESTAS MECI</a:t>
            </a:r>
            <a:endParaRPr lang="es-CO" sz="1400" b="1"/>
          </a:p>
        </c:rich>
      </c:tx>
    </c:title>
    <c:plotArea>
      <c:layout>
        <c:manualLayout>
          <c:layoutTarget val="inner"/>
          <c:xMode val="edge"/>
          <c:yMode val="edge"/>
          <c:x val="0.12206600752367547"/>
          <c:y val="0.16883116883116941"/>
          <c:w val="0.58811265312571359"/>
          <c:h val="0.50974025974025949"/>
        </c:manualLayout>
      </c:layout>
      <c:barChart>
        <c:barDir val="col"/>
        <c:grouping val="clustered"/>
        <c:ser>
          <c:idx val="0"/>
          <c:order val="0"/>
          <c:tx>
            <c:strRef>
              <c:f>DATOS!$A$29</c:f>
              <c:strCache>
                <c:ptCount val="1"/>
                <c:pt idx="0">
                  <c:v>% CUMPLIMIENTO PROG AUDITORIAS Y EVALUACIONES CI</c:v>
                </c:pt>
              </c:strCache>
            </c:strRef>
          </c:tx>
          <c:spPr>
            <a:solidFill>
              <a:srgbClr val="000090"/>
            </a:solidFill>
            <a:ln w="12700">
              <a:solidFill>
                <a:srgbClr val="000000"/>
              </a:solidFill>
              <a:prstDash val="solid"/>
            </a:ln>
          </c:spPr>
          <c:dLbls>
            <c:dLbl>
              <c:idx val="0"/>
              <c:layout>
                <c:manualLayout>
                  <c:x val="5.9115035349205005E-3"/>
                  <c:y val="-5.4579192654995896E-2"/>
                </c:manualLayout>
              </c:layout>
              <c:dLblPos val="outEnd"/>
              <c:showVal val="1"/>
            </c:dLbl>
            <c:dLbl>
              <c:idx val="1"/>
              <c:layout>
                <c:manualLayout>
                  <c:x val="5.4812396742880201E-3"/>
                  <c:y val="-6.1478453018569877E-2"/>
                </c:manualLayout>
              </c:layout>
              <c:dLblPos val="outEnd"/>
              <c:showVal val="1"/>
            </c:dLbl>
            <c:dLbl>
              <c:idx val="2"/>
              <c:layout>
                <c:manualLayout>
                  <c:x val="1.8978988333217383E-2"/>
                  <c:y val="-5.1738193278310224E-2"/>
                </c:manualLayout>
              </c:layout>
              <c:dLblPos val="outEnd"/>
              <c:showVal val="1"/>
            </c:dLbl>
            <c:dLbl>
              <c:idx val="3"/>
              <c:layout>
                <c:manualLayout>
                  <c:x val="1.3697104771206203E-2"/>
                  <c:y val="-2.9010920551037506E-2"/>
                </c:manualLayout>
              </c:layout>
              <c:dLblPos val="outEnd"/>
              <c:showVal val="1"/>
            </c:dLbl>
            <c:dLbl>
              <c:idx val="4"/>
              <c:layout>
                <c:manualLayout>
                  <c:xMode val="edge"/>
                  <c:yMode val="edge"/>
                  <c:x val="0.66432077171538462"/>
                  <c:y val="0.35389610389610432"/>
                </c:manualLayout>
              </c:layout>
              <c:dLblPos val="outEnd"/>
              <c:showVal val="1"/>
            </c:dLbl>
            <c:dLbl>
              <c:idx val="5"/>
              <c:layout>
                <c:manualLayout>
                  <c:xMode val="edge"/>
                  <c:yMode val="edge"/>
                  <c:x val="0.82394555078480802"/>
                  <c:y val="0.37337662337662569"/>
                </c:manualLayout>
              </c:layout>
              <c:dLblPos val="outEnd"/>
              <c:showVal val="1"/>
            </c:dLbl>
            <c:dLbl>
              <c:idx val="6"/>
              <c:layout>
                <c:manualLayout>
                  <c:xMode val="edge"/>
                  <c:yMode val="edge"/>
                  <c:x val="0.95070640475169799"/>
                  <c:y val="0.36038961038961326"/>
                </c:manualLayout>
              </c:layout>
              <c:dLblPos val="outEnd"/>
              <c:showVal val="1"/>
            </c:dLbl>
            <c:dLbl>
              <c:idx val="7"/>
              <c:dLblPos val="outEnd"/>
              <c:showVal val="1"/>
            </c:dLbl>
            <c:dLbl>
              <c:idx val="8"/>
              <c:layout>
                <c:manualLayout>
                  <c:xMode val="edge"/>
                  <c:yMode val="edge"/>
                  <c:x val="0.73239604514204859"/>
                  <c:y val="1.6233766233766201E-2"/>
                </c:manualLayout>
              </c:layout>
              <c:dLblPos val="outEnd"/>
              <c:showVal val="1"/>
            </c:dLbl>
            <c:dLbl>
              <c:idx val="9"/>
              <c:layout>
                <c:manualLayout>
                  <c:xMode val="edge"/>
                  <c:yMode val="edge"/>
                  <c:x val="0.81690328111997801"/>
                  <c:y val="1.6233766233766201E-2"/>
                </c:manualLayout>
              </c:layout>
              <c:dLblPos val="outEnd"/>
              <c:showVal val="1"/>
            </c:dLbl>
            <c:dLbl>
              <c:idx val="10"/>
              <c:layout>
                <c:manualLayout>
                  <c:xMode val="edge"/>
                  <c:yMode val="edge"/>
                  <c:x val="0.88263113132503301"/>
                  <c:y val="1.6233766233766201E-2"/>
                </c:manualLayout>
              </c:layout>
              <c:dLblPos val="outEnd"/>
              <c:showVal val="1"/>
            </c:dLbl>
            <c:dLbl>
              <c:idx val="11"/>
              <c:layout>
                <c:manualLayout>
                  <c:xMode val="edge"/>
                  <c:yMode val="edge"/>
                  <c:x val="0.96009609763813908"/>
                  <c:y val="1.6233766233766201E-2"/>
                </c:manualLayout>
              </c:layout>
              <c:dLblPos val="outEnd"/>
              <c:showVal val="1"/>
            </c:dLbl>
            <c:dLbl>
              <c:idx val="12"/>
              <c:layout>
                <c:manualLayout>
                  <c:xMode val="edge"/>
                  <c:yMode val="edge"/>
                  <c:x val="0.40610421733838031"/>
                  <c:y val="0.25974025974025999"/>
                </c:manualLayout>
              </c:layout>
              <c:dLblPos val="outEnd"/>
              <c:showVal val="1"/>
            </c:dLbl>
            <c:dLbl>
              <c:idx val="13"/>
              <c:layout>
                <c:manualLayout>
                  <c:xMode val="edge"/>
                  <c:yMode val="edge"/>
                  <c:x val="0.44131556566251834"/>
                  <c:y val="0.30519480519480768"/>
                </c:manualLayout>
              </c:layout>
              <c:dLblPos val="outEnd"/>
              <c:showVal val="1"/>
            </c:dLbl>
            <c:dLbl>
              <c:idx val="14"/>
              <c:layout>
                <c:manualLayout>
                  <c:xMode val="edge"/>
                  <c:yMode val="edge"/>
                  <c:x val="0.462442374656999"/>
                  <c:y val="0.24675324675324761"/>
                </c:manualLayout>
              </c:layout>
              <c:dLblPos val="outEnd"/>
              <c:showVal val="1"/>
            </c:dLbl>
            <c:dLbl>
              <c:idx val="15"/>
              <c:layout>
                <c:manualLayout>
                  <c:xMode val="edge"/>
                  <c:yMode val="edge"/>
                  <c:x val="0.52112795519722466"/>
                  <c:y val="0.25649350649350483"/>
                </c:manualLayout>
              </c:layout>
              <c:dLblPos val="outEnd"/>
              <c:showVal val="1"/>
            </c:dLbl>
            <c:dLbl>
              <c:idx val="16"/>
              <c:layout>
                <c:manualLayout>
                  <c:xMode val="edge"/>
                  <c:yMode val="edge"/>
                  <c:x val="0.51643310875400539"/>
                  <c:y val="0.30844155844155779"/>
                </c:manualLayout>
              </c:layout>
              <c:dLblPos val="outEnd"/>
              <c:showVal val="1"/>
            </c:dLbl>
            <c:dLbl>
              <c:idx val="17"/>
              <c:layout>
                <c:manualLayout>
                  <c:xMode val="edge"/>
                  <c:yMode val="edge"/>
                  <c:x val="0.57981353573745231"/>
                  <c:y val="0.24350649350649481"/>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DATOS!$B$28:$E$28</c:f>
              <c:strCache>
                <c:ptCount val="4"/>
                <c:pt idx="0">
                  <c:v>ENE-MAR/14</c:v>
                </c:pt>
                <c:pt idx="1">
                  <c:v>ABR-JUN/14</c:v>
                </c:pt>
                <c:pt idx="2">
                  <c:v>JUL-SEP/14</c:v>
                </c:pt>
                <c:pt idx="3">
                  <c:v>OCT-DIC/14</c:v>
                </c:pt>
              </c:strCache>
            </c:strRef>
          </c:cat>
          <c:val>
            <c:numRef>
              <c:f>DATOS!$B$29:$E$29</c:f>
              <c:numCache>
                <c:formatCode>0%</c:formatCode>
                <c:ptCount val="4"/>
                <c:pt idx="0">
                  <c:v>1</c:v>
                </c:pt>
                <c:pt idx="1">
                  <c:v>1</c:v>
                </c:pt>
                <c:pt idx="2">
                  <c:v>1</c:v>
                </c:pt>
                <c:pt idx="3">
                  <c:v>1</c:v>
                </c:pt>
              </c:numCache>
            </c:numRef>
          </c:val>
        </c:ser>
        <c:gapWidth val="70"/>
        <c:axId val="168595840"/>
        <c:axId val="168597376"/>
      </c:barChart>
      <c:lineChart>
        <c:grouping val="standard"/>
        <c:ser>
          <c:idx val="1"/>
          <c:order val="1"/>
          <c:tx>
            <c:strRef>
              <c:f>DATOS!$A$30</c:f>
              <c:strCache>
                <c:ptCount val="1"/>
                <c:pt idx="0">
                  <c:v>EXCELENTE</c:v>
                </c:pt>
              </c:strCache>
            </c:strRef>
          </c:tx>
          <c:spPr>
            <a:ln w="25400">
              <a:solidFill>
                <a:srgbClr val="006411"/>
              </a:solidFill>
              <a:prstDash val="solid"/>
            </a:ln>
          </c:spPr>
          <c:marker>
            <c:symbol val="none"/>
          </c:marker>
          <c:cat>
            <c:strRef>
              <c:f>DATOS!$B$28:$E$28</c:f>
              <c:strCache>
                <c:ptCount val="4"/>
                <c:pt idx="0">
                  <c:v>ENE-MAR/14</c:v>
                </c:pt>
                <c:pt idx="1">
                  <c:v>ABR-JUN/14</c:v>
                </c:pt>
                <c:pt idx="2">
                  <c:v>JUL-SEP/14</c:v>
                </c:pt>
                <c:pt idx="3">
                  <c:v>OCT-DIC/14</c:v>
                </c:pt>
              </c:strCache>
            </c:strRef>
          </c:cat>
          <c:val>
            <c:numRef>
              <c:f>DATOS!$B$30:$E$30</c:f>
              <c:numCache>
                <c:formatCode>0%</c:formatCode>
                <c:ptCount val="4"/>
                <c:pt idx="0">
                  <c:v>1</c:v>
                </c:pt>
                <c:pt idx="1">
                  <c:v>1</c:v>
                </c:pt>
                <c:pt idx="2">
                  <c:v>1</c:v>
                </c:pt>
                <c:pt idx="3">
                  <c:v>1</c:v>
                </c:pt>
              </c:numCache>
            </c:numRef>
          </c:val>
        </c:ser>
        <c:ser>
          <c:idx val="2"/>
          <c:order val="2"/>
          <c:tx>
            <c:strRef>
              <c:f>DATOS!$A$31</c:f>
              <c:strCache>
                <c:ptCount val="1"/>
                <c:pt idx="0">
                  <c:v>REGULAR</c:v>
                </c:pt>
              </c:strCache>
            </c:strRef>
          </c:tx>
          <c:spPr>
            <a:ln w="25400">
              <a:solidFill>
                <a:srgbClr val="00ABEA"/>
              </a:solidFill>
              <a:prstDash val="solid"/>
            </a:ln>
          </c:spPr>
          <c:marker>
            <c:symbol val="none"/>
          </c:marker>
          <c:cat>
            <c:strRef>
              <c:f>DATOS!$B$28:$E$28</c:f>
              <c:strCache>
                <c:ptCount val="4"/>
                <c:pt idx="0">
                  <c:v>ENE-MAR/14</c:v>
                </c:pt>
                <c:pt idx="1">
                  <c:v>ABR-JUN/14</c:v>
                </c:pt>
                <c:pt idx="2">
                  <c:v>JUL-SEP/14</c:v>
                </c:pt>
                <c:pt idx="3">
                  <c:v>OCT-DIC/14</c:v>
                </c:pt>
              </c:strCache>
            </c:strRef>
          </c:cat>
          <c:val>
            <c:numRef>
              <c:f>DATOS!$B$31:$E$31</c:f>
              <c:numCache>
                <c:formatCode>0%</c:formatCode>
                <c:ptCount val="4"/>
                <c:pt idx="0">
                  <c:v>0.8</c:v>
                </c:pt>
                <c:pt idx="1">
                  <c:v>0.8</c:v>
                </c:pt>
                <c:pt idx="2">
                  <c:v>0.8</c:v>
                </c:pt>
                <c:pt idx="3">
                  <c:v>0.8</c:v>
                </c:pt>
              </c:numCache>
            </c:numRef>
          </c:val>
          <c:smooth val="1"/>
        </c:ser>
        <c:ser>
          <c:idx val="3"/>
          <c:order val="3"/>
          <c:tx>
            <c:strRef>
              <c:f>DATOS!$A$32</c:f>
              <c:strCache>
                <c:ptCount val="1"/>
                <c:pt idx="0">
                  <c:v>DEFICIENTE</c:v>
                </c:pt>
              </c:strCache>
            </c:strRef>
          </c:tx>
          <c:spPr>
            <a:ln w="25400">
              <a:solidFill>
                <a:srgbClr val="DD0806"/>
              </a:solidFill>
              <a:prstDash val="solid"/>
            </a:ln>
          </c:spPr>
          <c:marker>
            <c:symbol val="none"/>
          </c:marker>
          <c:cat>
            <c:strRef>
              <c:f>DATOS!$B$28:$E$28</c:f>
              <c:strCache>
                <c:ptCount val="4"/>
                <c:pt idx="0">
                  <c:v>ENE-MAR/14</c:v>
                </c:pt>
                <c:pt idx="1">
                  <c:v>ABR-JUN/14</c:v>
                </c:pt>
                <c:pt idx="2">
                  <c:v>JUL-SEP/14</c:v>
                </c:pt>
                <c:pt idx="3">
                  <c:v>OCT-DIC/14</c:v>
                </c:pt>
              </c:strCache>
            </c:strRef>
          </c:cat>
          <c:val>
            <c:numRef>
              <c:f>DATOS!$B$32:$E$32</c:f>
              <c:numCache>
                <c:formatCode>0%</c:formatCode>
                <c:ptCount val="4"/>
                <c:pt idx="0">
                  <c:v>0.60000000000000064</c:v>
                </c:pt>
                <c:pt idx="1">
                  <c:v>0.60000000000000064</c:v>
                </c:pt>
                <c:pt idx="2">
                  <c:v>0.60000000000000064</c:v>
                </c:pt>
                <c:pt idx="3">
                  <c:v>0.60000000000000064</c:v>
                </c:pt>
              </c:numCache>
            </c:numRef>
          </c:val>
        </c:ser>
        <c:marker val="1"/>
        <c:axId val="168595840"/>
        <c:axId val="168597376"/>
      </c:lineChart>
      <c:catAx>
        <c:axId val="168595840"/>
        <c:scaling>
          <c:orientation val="minMax"/>
        </c:scaling>
        <c:axPos val="b"/>
        <c:numFmt formatCode="mmm\-yy"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8597376"/>
        <c:crosses val="autoZero"/>
        <c:auto val="1"/>
        <c:lblAlgn val="ctr"/>
        <c:lblOffset val="100"/>
        <c:tickLblSkip val="1"/>
        <c:tickMarkSkip val="1"/>
      </c:catAx>
      <c:valAx>
        <c:axId val="168597376"/>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595840"/>
        <c:crosses val="autoZero"/>
        <c:crossBetween val="between"/>
        <c:minorUnit val="0.1"/>
      </c:valAx>
      <c:spPr>
        <a:noFill/>
        <a:ln w="25400">
          <a:noFill/>
        </a:ln>
      </c:spPr>
    </c:plotArea>
    <c:legend>
      <c:legendPos val="r"/>
      <c:layout>
        <c:manualLayout>
          <c:xMode val="edge"/>
          <c:yMode val="edge"/>
          <c:x val="0.75256211326794598"/>
          <c:y val="0.26040716229551347"/>
          <c:w val="0.22394995217102395"/>
          <c:h val="0.6224012559400256"/>
        </c:manualLayout>
      </c:layout>
      <c:spPr>
        <a:solidFill>
          <a:srgbClr val="FFFFFF"/>
        </a:solidFill>
        <a:ln w="3175">
          <a:solidFill>
            <a:srgbClr val="000000"/>
          </a:solidFill>
          <a:prstDash val="solid"/>
        </a:ln>
      </c:spPr>
      <c:txPr>
        <a:bodyPr/>
        <a:lstStyle/>
        <a:p>
          <a:pPr>
            <a:defRPr sz="50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 CUMPLIMIENTO</a:t>
            </a:r>
            <a:r>
              <a:rPr lang="es-CO" sz="1400" b="1" baseline="0"/>
              <a:t> DEL PROGRAMA DE AUDITORIAS</a:t>
            </a:r>
            <a:endParaRPr lang="es-CO" sz="1400" b="1"/>
          </a:p>
        </c:rich>
      </c:tx>
    </c:title>
    <c:plotArea>
      <c:layout>
        <c:manualLayout>
          <c:layoutTarget val="inner"/>
          <c:xMode val="edge"/>
          <c:yMode val="edge"/>
          <c:x val="0.125000143951006"/>
          <c:y val="0.173285504014666"/>
          <c:w val="0.61253475391047862"/>
          <c:h val="0.48375536537427805"/>
        </c:manualLayout>
      </c:layout>
      <c:barChart>
        <c:barDir val="col"/>
        <c:grouping val="clustered"/>
        <c:ser>
          <c:idx val="0"/>
          <c:order val="0"/>
          <c:tx>
            <c:strRef>
              <c:f>DATOS!$B$5</c:f>
              <c:strCache>
                <c:ptCount val="1"/>
                <c:pt idx="0">
                  <c:v>% CUMPLIMIENTO DEL PROGRAMA DE AUDITORIAS</c:v>
                </c:pt>
              </c:strCache>
            </c:strRef>
          </c:tx>
          <c:spPr>
            <a:solidFill>
              <a:srgbClr val="009900"/>
            </a:solidFill>
            <a:ln w="12700">
              <a:solidFill>
                <a:srgbClr val="000000"/>
              </a:solidFill>
              <a:prstDash val="solid"/>
            </a:ln>
          </c:spPr>
          <c:dLbls>
            <c:dLbl>
              <c:idx val="0"/>
              <c:layout>
                <c:manualLayout>
                  <c:x val="7.6549865229110486E-3"/>
                  <c:y val="2.9950723378626494E-3"/>
                </c:manualLayout>
              </c:layout>
              <c:dLblPos val="outEnd"/>
              <c:showVal val="1"/>
            </c:dLbl>
            <c:dLbl>
              <c:idx val="1"/>
              <c:layout>
                <c:manualLayout>
                  <c:x val="5.1278731667975469E-3"/>
                  <c:y val="-1.7123438990186143E-2"/>
                </c:manualLayout>
              </c:layout>
              <c:dLblPos val="outEnd"/>
              <c:showVal val="1"/>
            </c:dLbl>
            <c:dLbl>
              <c:idx val="2"/>
              <c:layout>
                <c:manualLayout>
                  <c:x val="-5.148247978436658E-3"/>
                  <c:y val="-2.8020172893031867E-2"/>
                </c:manualLayout>
              </c:layout>
              <c:dLblPos val="outEnd"/>
              <c:showVal val="1"/>
            </c:dLbl>
            <c:dLbl>
              <c:idx val="3"/>
              <c:layout>
                <c:manualLayout>
                  <c:x val="9.8448542988730393E-3"/>
                  <c:y val="-1.656126812695137E-2"/>
                </c:manualLayout>
              </c:layout>
              <c:dLblPos val="outEnd"/>
              <c:showVal val="1"/>
            </c:dLbl>
            <c:dLbl>
              <c:idx val="4"/>
              <c:layout>
                <c:manualLayout>
                  <c:x val="9.4277437488873225E-2"/>
                  <c:y val="3.2527155688691411E-2"/>
                </c:manualLayout>
              </c:layout>
              <c:dLblPos val="outEnd"/>
              <c:showVal val="1"/>
            </c:dLbl>
            <c:dLbl>
              <c:idx val="5"/>
              <c:layout>
                <c:manualLayout>
                  <c:x val="0.15820956342721346"/>
                  <c:y val="1.0394043028163604E-2"/>
                </c:manualLayout>
              </c:layout>
              <c:dLblPos val="outEnd"/>
              <c:showVal val="1"/>
            </c:dLbl>
            <c:dLbl>
              <c:idx val="6"/>
              <c:layout>
                <c:manualLayout>
                  <c:x val="0.16789630069826203"/>
                  <c:y val="3.1735123035206052E-3"/>
                </c:manualLayout>
              </c:layout>
              <c:dLblPos val="outEnd"/>
              <c:showVal val="1"/>
            </c:dLbl>
            <c:dLbl>
              <c:idx val="7"/>
              <c:dLblPos val="outEnd"/>
              <c:showVal val="1"/>
            </c:dLbl>
            <c:dLbl>
              <c:idx val="8"/>
              <c:layout>
                <c:manualLayout>
                  <c:x val="-0.19571869329581501"/>
                  <c:y val="1.8050573334861091E-2"/>
                </c:manualLayout>
              </c:layout>
              <c:dLblPos val="outEnd"/>
              <c:showVal val="1"/>
            </c:dLbl>
            <c:dLbl>
              <c:idx val="9"/>
              <c:layout>
                <c:manualLayout>
                  <c:x val="0.23158201922872837"/>
                  <c:y val="0.17277577131949726"/>
                </c:manualLayout>
              </c:layout>
              <c:dLblPos val="outEnd"/>
              <c:showVal val="1"/>
            </c:dLbl>
            <c:dLbl>
              <c:idx val="10"/>
              <c:layout>
                <c:manualLayout>
                  <c:x val="1.52459514246936E-2"/>
                  <c:y val="1.8050573334861091E-2"/>
                </c:manualLayout>
              </c:layout>
              <c:dLblPos val="outEnd"/>
              <c:showVal val="1"/>
            </c:dLbl>
            <c:dLbl>
              <c:idx val="11"/>
              <c:layout>
                <c:manualLayout>
                  <c:x val="2.1142300249613211E-2"/>
                  <c:y val="1.8050573334861091E-2"/>
                </c:manualLayout>
              </c:layout>
              <c:dLblPos val="outEnd"/>
              <c:showVal val="1"/>
            </c:dLbl>
            <c:dLbl>
              <c:idx val="12"/>
              <c:layout>
                <c:manualLayout>
                  <c:x val="-0.50838193260778664"/>
                  <c:y val="9.8210420076937047E-2"/>
                </c:manualLayout>
              </c:layout>
              <c:dLblPos val="outEnd"/>
              <c:showVal val="1"/>
            </c:dLbl>
            <c:dLbl>
              <c:idx val="13"/>
              <c:layout>
                <c:manualLayout>
                  <c:x val="-0.47364281922902546"/>
                  <c:y val="0.15007399042722408"/>
                </c:manualLayout>
              </c:layout>
              <c:dLblPos val="outEnd"/>
              <c:showVal val="1"/>
            </c:dLbl>
            <c:dLbl>
              <c:idx val="14"/>
              <c:layout>
                <c:manualLayout>
                  <c:xMode val="edge"/>
                  <c:yMode val="edge"/>
                  <c:x val="0.46462317657260732"/>
                  <c:y val="0.27436871468989016"/>
                </c:manualLayout>
              </c:layout>
              <c:dLblPos val="outEnd"/>
              <c:showVal val="1"/>
            </c:dLbl>
            <c:dLbl>
              <c:idx val="15"/>
              <c:layout>
                <c:manualLayout>
                  <c:xMode val="edge"/>
                  <c:yMode val="edge"/>
                  <c:x val="0.52358550862496656"/>
                  <c:y val="0.28519905869080475"/>
                </c:manualLayout>
              </c:layout>
              <c:dLblPos val="outEnd"/>
              <c:showVal val="1"/>
            </c:dLbl>
            <c:dLbl>
              <c:idx val="16"/>
              <c:layout>
                <c:manualLayout>
                  <c:xMode val="edge"/>
                  <c:yMode val="edge"/>
                  <c:x val="0.51886852206078005"/>
                  <c:y val="0.34296089336236263"/>
                </c:manualLayout>
              </c:layout>
              <c:dLblPos val="outEnd"/>
              <c:showVal val="1"/>
            </c:dLbl>
            <c:dLbl>
              <c:idx val="17"/>
              <c:layout>
                <c:manualLayout>
                  <c:xMode val="edge"/>
                  <c:yMode val="edge"/>
                  <c:x val="0.58254784067732956"/>
                  <c:y val="0.27075860002291602"/>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DATOS!$C$4:$R$4</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DATOS!$C$5:$R$5</c:f>
              <c:numCache>
                <c:formatCode>0%</c:formatCode>
                <c:ptCount val="12"/>
                <c:pt idx="0">
                  <c:v>0.8</c:v>
                </c:pt>
                <c:pt idx="1">
                  <c:v>0.9</c:v>
                </c:pt>
                <c:pt idx="2">
                  <c:v>1</c:v>
                </c:pt>
                <c:pt idx="3">
                  <c:v>1</c:v>
                </c:pt>
                <c:pt idx="4">
                  <c:v>1</c:v>
                </c:pt>
                <c:pt idx="5">
                  <c:v>1</c:v>
                </c:pt>
                <c:pt idx="6">
                  <c:v>1</c:v>
                </c:pt>
                <c:pt idx="7">
                  <c:v>1</c:v>
                </c:pt>
                <c:pt idx="8">
                  <c:v>1</c:v>
                </c:pt>
                <c:pt idx="9">
                  <c:v>1</c:v>
                </c:pt>
                <c:pt idx="10">
                  <c:v>1</c:v>
                </c:pt>
                <c:pt idx="11">
                  <c:v>1</c:v>
                </c:pt>
              </c:numCache>
            </c:numRef>
          </c:val>
        </c:ser>
        <c:gapWidth val="70"/>
        <c:axId val="168682240"/>
        <c:axId val="168683776"/>
      </c:barChart>
      <c:lineChart>
        <c:grouping val="standard"/>
        <c:ser>
          <c:idx val="1"/>
          <c:order val="1"/>
          <c:tx>
            <c:strRef>
              <c:f>DATOS!$B$6</c:f>
              <c:strCache>
                <c:ptCount val="1"/>
                <c:pt idx="0">
                  <c:v>EXCELENTE</c:v>
                </c:pt>
              </c:strCache>
            </c:strRef>
          </c:tx>
          <c:spPr>
            <a:ln w="25400">
              <a:solidFill>
                <a:srgbClr val="99CC00"/>
              </a:solidFill>
              <a:prstDash val="solid"/>
            </a:ln>
          </c:spPr>
          <c:marker>
            <c:symbol val="none"/>
          </c:marker>
          <c:cat>
            <c:strRef>
              <c:f>DATOS!$C$4:$R$4</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DATOS!$C$6:$R$6</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ser>
          <c:idx val="2"/>
          <c:order val="2"/>
          <c:tx>
            <c:strRef>
              <c:f>DATOS!$B$7</c:f>
              <c:strCache>
                <c:ptCount val="1"/>
                <c:pt idx="0">
                  <c:v>REGULAR</c:v>
                </c:pt>
              </c:strCache>
            </c:strRef>
          </c:tx>
          <c:spPr>
            <a:ln w="25400">
              <a:solidFill>
                <a:srgbClr val="00CCFF"/>
              </a:solidFill>
              <a:prstDash val="solid"/>
            </a:ln>
          </c:spPr>
          <c:marker>
            <c:symbol val="none"/>
          </c:marker>
          <c:cat>
            <c:strRef>
              <c:f>DATOS!$C$4:$R$4</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DATOS!$C$7:$R$7</c:f>
              <c:numCache>
                <c:formatCode>0%</c:formatCode>
                <c:ptCount val="12"/>
                <c:pt idx="0">
                  <c:v>0.75000000000000244</c:v>
                </c:pt>
                <c:pt idx="1">
                  <c:v>0.75000000000000244</c:v>
                </c:pt>
                <c:pt idx="2">
                  <c:v>0.75000000000000244</c:v>
                </c:pt>
                <c:pt idx="3">
                  <c:v>0.75000000000000244</c:v>
                </c:pt>
                <c:pt idx="4">
                  <c:v>0.75000000000000244</c:v>
                </c:pt>
                <c:pt idx="5">
                  <c:v>0.75000000000000244</c:v>
                </c:pt>
                <c:pt idx="6">
                  <c:v>0.75000000000000244</c:v>
                </c:pt>
                <c:pt idx="7">
                  <c:v>0.75000000000000244</c:v>
                </c:pt>
                <c:pt idx="8">
                  <c:v>0.75000000000000244</c:v>
                </c:pt>
                <c:pt idx="9">
                  <c:v>0.75000000000000244</c:v>
                </c:pt>
                <c:pt idx="10">
                  <c:v>0.75000000000000244</c:v>
                </c:pt>
                <c:pt idx="11">
                  <c:v>0.75000000000000244</c:v>
                </c:pt>
              </c:numCache>
            </c:numRef>
          </c:val>
          <c:smooth val="1"/>
        </c:ser>
        <c:ser>
          <c:idx val="3"/>
          <c:order val="3"/>
          <c:tx>
            <c:strRef>
              <c:f>DATOS!$B$8</c:f>
              <c:strCache>
                <c:ptCount val="1"/>
                <c:pt idx="0">
                  <c:v>DEFICIENTE</c:v>
                </c:pt>
              </c:strCache>
            </c:strRef>
          </c:tx>
          <c:spPr>
            <a:ln w="25400">
              <a:solidFill>
                <a:srgbClr val="DD0806"/>
              </a:solidFill>
              <a:prstDash val="solid"/>
            </a:ln>
          </c:spPr>
          <c:marker>
            <c:symbol val="none"/>
          </c:marker>
          <c:cat>
            <c:strRef>
              <c:f>DATOS!$C$4:$R$4</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DATOS!$C$8:$R$8</c:f>
              <c:numCache>
                <c:formatCode>0%</c:formatCode>
                <c:ptCount val="12"/>
                <c:pt idx="0">
                  <c:v>0.60000000000000064</c:v>
                </c:pt>
                <c:pt idx="1">
                  <c:v>0.60000000000000064</c:v>
                </c:pt>
                <c:pt idx="2">
                  <c:v>0.60000000000000064</c:v>
                </c:pt>
                <c:pt idx="3">
                  <c:v>0.60000000000000064</c:v>
                </c:pt>
                <c:pt idx="4">
                  <c:v>0.60000000000000064</c:v>
                </c:pt>
                <c:pt idx="5">
                  <c:v>0.60000000000000064</c:v>
                </c:pt>
                <c:pt idx="6">
                  <c:v>0.60000000000000064</c:v>
                </c:pt>
                <c:pt idx="7">
                  <c:v>0.60000000000000064</c:v>
                </c:pt>
                <c:pt idx="8">
                  <c:v>0.60000000000000064</c:v>
                </c:pt>
                <c:pt idx="9">
                  <c:v>0.60000000000000064</c:v>
                </c:pt>
                <c:pt idx="10">
                  <c:v>0.60000000000000064</c:v>
                </c:pt>
                <c:pt idx="11">
                  <c:v>0.60000000000000064</c:v>
                </c:pt>
              </c:numCache>
            </c:numRef>
          </c:val>
        </c:ser>
        <c:marker val="1"/>
        <c:axId val="168682240"/>
        <c:axId val="168683776"/>
      </c:lineChart>
      <c:catAx>
        <c:axId val="168682240"/>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8683776"/>
        <c:crosses val="autoZero"/>
        <c:auto val="1"/>
        <c:lblAlgn val="ctr"/>
        <c:lblOffset val="100"/>
        <c:tickLblSkip val="1"/>
        <c:tickMarkSkip val="1"/>
      </c:catAx>
      <c:valAx>
        <c:axId val="168683776"/>
        <c:scaling>
          <c:orientation val="minMax"/>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682240"/>
        <c:crosses val="autoZero"/>
        <c:crossBetween val="between"/>
      </c:valAx>
      <c:spPr>
        <a:noFill/>
        <a:ln w="25400">
          <a:noFill/>
        </a:ln>
      </c:spPr>
    </c:plotArea>
    <c:legend>
      <c:legendPos val="r"/>
      <c:layout>
        <c:manualLayout>
          <c:xMode val="edge"/>
          <c:yMode val="edge"/>
          <c:x val="0.76451599210476062"/>
          <c:y val="0.20219763262847848"/>
          <c:w val="0.16309824479487259"/>
          <c:h val="0.73472978751029161"/>
        </c:manualLayout>
      </c:layout>
      <c:spPr>
        <a:solidFill>
          <a:srgbClr val="FFFFFF"/>
        </a:solidFill>
        <a:ln w="3175">
          <a:solidFill>
            <a:srgbClr val="000000"/>
          </a:solidFill>
          <a:prstDash val="solid"/>
        </a:ln>
      </c:spPr>
      <c:txPr>
        <a:bodyPr/>
        <a:lstStyle/>
        <a:p>
          <a:pPr>
            <a:defRPr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NUMERO DE NO</a:t>
            </a:r>
            <a:r>
              <a:rPr lang="es-CO" sz="1400" b="1" baseline="0"/>
              <a:t> CONFORMIDADES DEL S.G.C. DETECTADAS EN AUDITORIAS</a:t>
            </a:r>
            <a:endParaRPr lang="es-CO" sz="1400" b="1"/>
          </a:p>
        </c:rich>
      </c:tx>
    </c:title>
    <c:plotArea>
      <c:layout>
        <c:manualLayout>
          <c:layoutTarget val="inner"/>
          <c:xMode val="edge"/>
          <c:yMode val="edge"/>
          <c:x val="6.2838050649074273E-2"/>
          <c:y val="0.16896905205212812"/>
          <c:w val="0.70645179825494786"/>
          <c:h val="0.48375536537427805"/>
        </c:manualLayout>
      </c:layout>
      <c:barChart>
        <c:barDir val="col"/>
        <c:grouping val="clustered"/>
        <c:ser>
          <c:idx val="0"/>
          <c:order val="0"/>
          <c:tx>
            <c:strRef>
              <c:f>DATOS!$B$11</c:f>
              <c:strCache>
                <c:ptCount val="1"/>
                <c:pt idx="0">
                  <c:v>NUMERO DE NO CONFORMIDADES DEL S.G.C. DETECTADAS EN AUDOTORIAS</c:v>
                </c:pt>
              </c:strCache>
            </c:strRef>
          </c:tx>
          <c:spPr>
            <a:solidFill>
              <a:srgbClr val="009900"/>
            </a:solidFill>
            <a:ln w="12700">
              <a:solidFill>
                <a:srgbClr val="000000"/>
              </a:solidFill>
              <a:prstDash val="solid"/>
            </a:ln>
          </c:spPr>
          <c:dLbls>
            <c:dLbl>
              <c:idx val="0"/>
              <c:layout>
                <c:manualLayout>
                  <c:x val="1.1036054703688441E-2"/>
                  <c:y val="-3.0251359645875116E-2"/>
                </c:manualLayout>
              </c:layout>
              <c:dLblPos val="outEnd"/>
              <c:showVal val="1"/>
            </c:dLbl>
            <c:dLbl>
              <c:idx val="1"/>
              <c:layout>
                <c:manualLayout>
                  <c:x val="-2.5012662890822952E-3"/>
                  <c:y val="-1.4671833732382221E-2"/>
                </c:manualLayout>
              </c:layout>
              <c:dLblPos val="outEnd"/>
              <c:showVal val="1"/>
            </c:dLbl>
            <c:dLbl>
              <c:idx val="2"/>
              <c:layout>
                <c:manualLayout>
                  <c:x val="1.6415103855658905E-2"/>
                  <c:y val="-4.9602893790609622E-2"/>
                </c:manualLayout>
              </c:layout>
              <c:dLblPos val="outEnd"/>
              <c:showVal val="1"/>
            </c:dLbl>
            <c:dLbl>
              <c:idx val="3"/>
              <c:layout>
                <c:manualLayout>
                  <c:x val="1.5235734317964121E-2"/>
                  <c:y val="-6.4043352458498404E-2"/>
                </c:manualLayout>
              </c:layout>
              <c:dLblPos val="outEnd"/>
              <c:showVal val="1"/>
            </c:dLbl>
            <c:dLbl>
              <c:idx val="4"/>
              <c:layout>
                <c:manualLayout>
                  <c:x val="9.4822028825344244E-3"/>
                  <c:y val="3.2687450118892023E-3"/>
                </c:manualLayout>
              </c:layout>
              <c:dLblPos val="outEnd"/>
              <c:showVal val="1"/>
            </c:dLbl>
            <c:dLbl>
              <c:idx val="5"/>
              <c:layout>
                <c:manualLayout>
                  <c:x val="-1.2377400193396904E-3"/>
                  <c:y val="-2.5034597947983812E-2"/>
                </c:manualLayout>
              </c:layout>
              <c:dLblPos val="outEnd"/>
              <c:showVal val="1"/>
            </c:dLbl>
            <c:dLbl>
              <c:idx val="6"/>
              <c:layout>
                <c:manualLayout>
                  <c:x val="7.7243634019443007E-4"/>
                  <c:y val="-1.135602563786119E-2"/>
                </c:manualLayout>
              </c:layout>
              <c:dLblPos val="outEnd"/>
              <c:showVal val="1"/>
            </c:dLbl>
            <c:dLbl>
              <c:idx val="7"/>
              <c:layout>
                <c:manualLayout>
                  <c:x val="8.771929824561403E-3"/>
                  <c:y val="-8.3594566353188057E-3"/>
                </c:manualLayout>
              </c:layout>
              <c:dLblPos val="outEnd"/>
              <c:showVal val="1"/>
            </c:dLbl>
            <c:dLbl>
              <c:idx val="8"/>
              <c:layout>
                <c:manualLayout>
                  <c:x val="1.7750840355481901E-2"/>
                  <c:y val="-2.848139280395609E-3"/>
                </c:manualLayout>
              </c:layout>
              <c:dLblPos val="outEnd"/>
              <c:showVal val="1"/>
            </c:dLbl>
            <c:dLbl>
              <c:idx val="9"/>
              <c:layout>
                <c:manualLayout>
                  <c:x val="6.2747386839802924E-2"/>
                  <c:y val="-3.6294522745785311E-2"/>
                </c:manualLayout>
              </c:layout>
              <c:dLblPos val="outEnd"/>
              <c:showVal val="1"/>
            </c:dLbl>
            <c:dLbl>
              <c:idx val="10"/>
              <c:layout>
                <c:manualLayout>
                  <c:x val="1.5265178262384878E-2"/>
                  <c:y val="1.8050573334861188E-2"/>
                </c:manualLayout>
              </c:layout>
              <c:dLblPos val="outEnd"/>
              <c:showVal val="1"/>
            </c:dLbl>
            <c:dLbl>
              <c:idx val="11"/>
              <c:layout>
                <c:manualLayout>
                  <c:x val="2.1161487791283504E-2"/>
                  <c:y val="1.8050573334861188E-2"/>
                </c:manualLayout>
              </c:layout>
              <c:dLblPos val="outEnd"/>
              <c:showVal val="1"/>
            </c:dLbl>
            <c:dLbl>
              <c:idx val="12"/>
              <c:layout>
                <c:manualLayout>
                  <c:x val="-0.53171128797470102"/>
                  <c:y val="-0.30472080467396734"/>
                </c:manualLayout>
              </c:layout>
              <c:dLblPos val="outEnd"/>
              <c:showVal val="1"/>
            </c:dLbl>
            <c:dLbl>
              <c:idx val="13"/>
              <c:layout>
                <c:manualLayout>
                  <c:xMode val="edge"/>
                  <c:yMode val="edge"/>
                  <c:x val="0.44339673703375732"/>
                  <c:y val="0.33935077869539004"/>
                </c:manualLayout>
              </c:layout>
              <c:dLblPos val="outEnd"/>
              <c:showVal val="1"/>
            </c:dLbl>
            <c:dLbl>
              <c:idx val="14"/>
              <c:layout>
                <c:manualLayout>
                  <c:xMode val="edge"/>
                  <c:yMode val="edge"/>
                  <c:x val="0.46462317657260732"/>
                  <c:y val="0.27436871468989016"/>
                </c:manualLayout>
              </c:layout>
              <c:dLblPos val="outEnd"/>
              <c:showVal val="1"/>
            </c:dLbl>
            <c:dLbl>
              <c:idx val="15"/>
              <c:layout>
                <c:manualLayout>
                  <c:xMode val="edge"/>
                  <c:yMode val="edge"/>
                  <c:x val="0.52358550862496656"/>
                  <c:y val="0.28519905869080475"/>
                </c:manualLayout>
              </c:layout>
              <c:dLblPos val="outEnd"/>
              <c:showVal val="1"/>
            </c:dLbl>
            <c:dLbl>
              <c:idx val="16"/>
              <c:layout>
                <c:manualLayout>
                  <c:xMode val="edge"/>
                  <c:yMode val="edge"/>
                  <c:x val="0.51886852206078005"/>
                  <c:y val="0.34296089336236263"/>
                </c:manualLayout>
              </c:layout>
              <c:dLblPos val="outEnd"/>
              <c:showVal val="1"/>
            </c:dLbl>
            <c:dLbl>
              <c:idx val="17"/>
              <c:layout>
                <c:manualLayout>
                  <c:xMode val="edge"/>
                  <c:yMode val="edge"/>
                  <c:x val="0.58254784067732956"/>
                  <c:y val="0.27075860002291602"/>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DATOS!$C$10:$R$10</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DATOS!$C$11:$R$11</c:f>
              <c:numCache>
                <c:formatCode>General</c:formatCode>
                <c:ptCount val="12"/>
                <c:pt idx="0">
                  <c:v>0</c:v>
                </c:pt>
                <c:pt idx="1">
                  <c:v>2</c:v>
                </c:pt>
                <c:pt idx="2">
                  <c:v>3</c:v>
                </c:pt>
                <c:pt idx="3">
                  <c:v>0</c:v>
                </c:pt>
                <c:pt idx="4">
                  <c:v>0</c:v>
                </c:pt>
                <c:pt idx="5">
                  <c:v>0</c:v>
                </c:pt>
                <c:pt idx="6">
                  <c:v>0</c:v>
                </c:pt>
                <c:pt idx="7">
                  <c:v>0</c:v>
                </c:pt>
                <c:pt idx="8">
                  <c:v>0</c:v>
                </c:pt>
                <c:pt idx="9">
                  <c:v>0</c:v>
                </c:pt>
                <c:pt idx="10">
                  <c:v>0</c:v>
                </c:pt>
                <c:pt idx="11">
                  <c:v>0</c:v>
                </c:pt>
              </c:numCache>
            </c:numRef>
          </c:val>
        </c:ser>
        <c:gapWidth val="70"/>
        <c:axId val="168248448"/>
        <c:axId val="168249984"/>
      </c:barChart>
      <c:lineChart>
        <c:grouping val="standard"/>
        <c:ser>
          <c:idx val="1"/>
          <c:order val="1"/>
          <c:tx>
            <c:strRef>
              <c:f>DATOS!$B$12</c:f>
              <c:strCache>
                <c:ptCount val="1"/>
                <c:pt idx="0">
                  <c:v>EXCELENTE</c:v>
                </c:pt>
              </c:strCache>
            </c:strRef>
          </c:tx>
          <c:spPr>
            <a:ln w="25400">
              <a:solidFill>
                <a:srgbClr val="99CC00"/>
              </a:solidFill>
              <a:prstDash val="solid"/>
            </a:ln>
          </c:spPr>
          <c:marker>
            <c:symbol val="none"/>
          </c:marker>
          <c:cat>
            <c:strRef>
              <c:f>DATOS!$C$10:$R$10</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DATOS!$C$12:$R$12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2"/>
          <c:order val="2"/>
          <c:tx>
            <c:strRef>
              <c:f>DATOS!$B$13</c:f>
              <c:strCache>
                <c:ptCount val="1"/>
                <c:pt idx="0">
                  <c:v>REGULAR</c:v>
                </c:pt>
              </c:strCache>
            </c:strRef>
          </c:tx>
          <c:spPr>
            <a:ln w="25400">
              <a:solidFill>
                <a:srgbClr val="00CCFF"/>
              </a:solidFill>
              <a:prstDash val="solid"/>
            </a:ln>
          </c:spPr>
          <c:marker>
            <c:symbol val="none"/>
          </c:marker>
          <c:cat>
            <c:strRef>
              <c:f>DATOS!$C$10:$R$10</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DATOS!$C$13:$R$13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1"/>
        </c:ser>
        <c:ser>
          <c:idx val="3"/>
          <c:order val="3"/>
          <c:tx>
            <c:strRef>
              <c:f>DATOS!$B$14</c:f>
              <c:strCache>
                <c:ptCount val="1"/>
                <c:pt idx="0">
                  <c:v>DEFICIENTE</c:v>
                </c:pt>
              </c:strCache>
            </c:strRef>
          </c:tx>
          <c:spPr>
            <a:ln w="25400">
              <a:solidFill>
                <a:srgbClr val="DD0806"/>
              </a:solidFill>
              <a:prstDash val="solid"/>
            </a:ln>
          </c:spPr>
          <c:marker>
            <c:symbol val="none"/>
          </c:marker>
          <c:cat>
            <c:strRef>
              <c:f>DATOS!$C$10:$R$10</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DATOS!$C$14:$R$14</c:f>
              <c:numCache>
                <c:formatCode>General</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er>
        <c:marker val="1"/>
        <c:axId val="168248448"/>
        <c:axId val="168249984"/>
      </c:lineChart>
      <c:catAx>
        <c:axId val="168248448"/>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8249984"/>
        <c:crosses val="autoZero"/>
        <c:auto val="1"/>
        <c:lblAlgn val="ctr"/>
        <c:lblOffset val="100"/>
        <c:tickLblSkip val="1"/>
        <c:tickMarkSkip val="1"/>
      </c:catAx>
      <c:valAx>
        <c:axId val="168249984"/>
        <c:scaling>
          <c:orientation val="minMax"/>
        </c:scaling>
        <c:axPos val="l"/>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248448"/>
        <c:crosses val="autoZero"/>
        <c:crossBetween val="between"/>
      </c:valAx>
      <c:spPr>
        <a:noFill/>
        <a:ln w="25400">
          <a:noFill/>
        </a:ln>
      </c:spPr>
    </c:plotArea>
    <c:legend>
      <c:legendPos val="r"/>
      <c:layout>
        <c:manualLayout>
          <c:xMode val="edge"/>
          <c:yMode val="edge"/>
          <c:x val="0.76387678229410638"/>
          <c:y val="0.21946382359119157"/>
          <c:w val="0.20678548627367521"/>
          <c:h val="0.65310386973406653"/>
        </c:manualLayout>
      </c:layout>
      <c:spPr>
        <a:solidFill>
          <a:srgbClr val="FFFFFF"/>
        </a:solidFill>
        <a:ln w="3175">
          <a:solidFill>
            <a:srgbClr val="000000"/>
          </a:solidFill>
          <a:prstDash val="solid"/>
        </a:ln>
      </c:spPr>
      <c:txPr>
        <a:bodyPr/>
        <a:lstStyle/>
        <a:p>
          <a:pPr>
            <a:defRPr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600" b="1"/>
            </a:pPr>
            <a:r>
              <a:rPr lang="es-CO" sz="1600" b="1"/>
              <a:t>QUEJAS</a:t>
            </a:r>
            <a:r>
              <a:rPr lang="es-CO" sz="1600" b="1" baseline="0"/>
              <a:t> O RECLAMOS CLIENTES</a:t>
            </a:r>
            <a:endParaRPr lang="es-CO" sz="1600" b="1"/>
          </a:p>
        </c:rich>
      </c:tx>
    </c:title>
    <c:plotArea>
      <c:layout>
        <c:manualLayout>
          <c:layoutTarget val="inner"/>
          <c:xMode val="edge"/>
          <c:yMode val="edge"/>
          <c:x val="5.1430624986590706E-2"/>
          <c:y val="0.19033099730024097"/>
          <c:w val="0.74059280396490001"/>
          <c:h val="0.48375536537427904"/>
        </c:manualLayout>
      </c:layout>
      <c:barChart>
        <c:barDir val="col"/>
        <c:grouping val="clustered"/>
        <c:ser>
          <c:idx val="0"/>
          <c:order val="0"/>
          <c:tx>
            <c:strRef>
              <c:f>DATOS!$B$25</c:f>
              <c:strCache>
                <c:ptCount val="1"/>
                <c:pt idx="0">
                  <c:v>QUEJAS O RECLAMOS DE CLIENTES</c:v>
                </c:pt>
              </c:strCache>
            </c:strRef>
          </c:tx>
          <c:spPr>
            <a:solidFill>
              <a:srgbClr val="009900"/>
            </a:solidFill>
            <a:ln w="12700">
              <a:solidFill>
                <a:srgbClr val="000000"/>
              </a:solidFill>
              <a:prstDash val="solid"/>
            </a:ln>
          </c:spPr>
          <c:dLbls>
            <c:dLbl>
              <c:idx val="0"/>
              <c:layout>
                <c:manualLayout>
                  <c:x val="1.0438541912506169E-2"/>
                  <c:y val="-4.56804862384768E-2"/>
                </c:manualLayout>
              </c:layout>
              <c:dLblPos val="outEnd"/>
              <c:showVal val="1"/>
            </c:dLbl>
            <c:dLbl>
              <c:idx val="1"/>
              <c:layout>
                <c:manualLayout>
                  <c:x val="7.9995279881568092E-3"/>
                  <c:y val="-1.7153837946008769E-2"/>
                </c:manualLayout>
              </c:layout>
              <c:dLblPos val="outEnd"/>
              <c:showVal val="1"/>
            </c:dLbl>
            <c:dLbl>
              <c:idx val="2"/>
              <c:layout>
                <c:manualLayout>
                  <c:x val="1.6415103855658905E-2"/>
                  <c:y val="-4.9602893790609622E-2"/>
                </c:manualLayout>
              </c:layout>
              <c:dLblPos val="outEnd"/>
              <c:showVal val="1"/>
            </c:dLbl>
            <c:dLbl>
              <c:idx val="3"/>
              <c:layout>
                <c:manualLayout>
                  <c:x val="1.5235734317964121E-2"/>
                  <c:y val="-6.4043352458498404E-2"/>
                </c:manualLayout>
              </c:layout>
              <c:dLblPos val="outEnd"/>
              <c:showVal val="1"/>
            </c:dLbl>
            <c:dLbl>
              <c:idx val="4"/>
              <c:layout>
                <c:manualLayout>
                  <c:x val="0.12697483318672384"/>
                  <c:y val="-1.5639543584364617E-3"/>
                </c:manualLayout>
              </c:layout>
              <c:dLblPos val="outEnd"/>
              <c:showVal val="1"/>
            </c:dLbl>
            <c:dLbl>
              <c:idx val="5"/>
              <c:layout>
                <c:manualLayout>
                  <c:x val="0.14203702226912701"/>
                  <c:y val="7.9458646359330434E-2"/>
                </c:manualLayout>
              </c:layout>
              <c:dLblPos val="outEnd"/>
              <c:showVal val="1"/>
            </c:dLbl>
            <c:dLbl>
              <c:idx val="6"/>
              <c:layout>
                <c:manualLayout>
                  <c:x val="0.12696560750069741"/>
                  <c:y val="1.2579414052302713E-2"/>
                </c:manualLayout>
              </c:layout>
              <c:dLblPos val="outEnd"/>
              <c:showVal val="1"/>
            </c:dLbl>
            <c:dLbl>
              <c:idx val="7"/>
              <c:dLblPos val="outEnd"/>
              <c:showVal val="1"/>
            </c:dLbl>
            <c:dLbl>
              <c:idx val="8"/>
              <c:layout>
                <c:manualLayout>
                  <c:x val="-0.19555550699792401"/>
                  <c:y val="1.8050573334861188E-2"/>
                </c:manualLayout>
              </c:layout>
              <c:dLblPos val="outEnd"/>
              <c:showVal val="1"/>
            </c:dLbl>
            <c:dLbl>
              <c:idx val="9"/>
              <c:layout>
                <c:manualLayout>
                  <c:x val="5.9966959170975704E-3"/>
                  <c:y val="-9.8145601768433025E-4"/>
                </c:manualLayout>
              </c:layout>
              <c:dLblPos val="outEnd"/>
              <c:showVal val="1"/>
            </c:dLbl>
            <c:dLbl>
              <c:idx val="10"/>
              <c:layout>
                <c:manualLayout>
                  <c:x val="1.5342936358179604E-2"/>
                  <c:y val="1.8050573334861188E-2"/>
                </c:manualLayout>
              </c:layout>
              <c:dLblPos val="outEnd"/>
              <c:showVal val="1"/>
            </c:dLbl>
            <c:dLbl>
              <c:idx val="11"/>
              <c:layout>
                <c:manualLayout>
                  <c:x val="2.1239086964232906E-2"/>
                  <c:y val="1.8050573334861188E-2"/>
                </c:manualLayout>
              </c:layout>
              <c:dLblPos val="outEnd"/>
              <c:showVal val="1"/>
            </c:dLbl>
            <c:dLbl>
              <c:idx val="12"/>
              <c:layout>
                <c:manualLayout>
                  <c:x val="-0.53157604463326158"/>
                  <c:y val="-0.30550723368576932"/>
                </c:manualLayout>
              </c:layout>
              <c:dLblPos val="outEnd"/>
              <c:showVal val="1"/>
            </c:dLbl>
            <c:dLbl>
              <c:idx val="13"/>
              <c:layout>
                <c:manualLayout>
                  <c:xMode val="edge"/>
                  <c:yMode val="edge"/>
                  <c:x val="0.44339673703375732"/>
                  <c:y val="0.33935077869539004"/>
                </c:manualLayout>
              </c:layout>
              <c:dLblPos val="outEnd"/>
              <c:showVal val="1"/>
            </c:dLbl>
            <c:dLbl>
              <c:idx val="14"/>
              <c:layout>
                <c:manualLayout>
                  <c:xMode val="edge"/>
                  <c:yMode val="edge"/>
                  <c:x val="0.46462317657260732"/>
                  <c:y val="0.27436871468989016"/>
                </c:manualLayout>
              </c:layout>
              <c:dLblPos val="outEnd"/>
              <c:showVal val="1"/>
            </c:dLbl>
            <c:dLbl>
              <c:idx val="15"/>
              <c:layout>
                <c:manualLayout>
                  <c:xMode val="edge"/>
                  <c:yMode val="edge"/>
                  <c:x val="0.52358550862496656"/>
                  <c:y val="0.28519905869080475"/>
                </c:manualLayout>
              </c:layout>
              <c:dLblPos val="outEnd"/>
              <c:showVal val="1"/>
            </c:dLbl>
            <c:dLbl>
              <c:idx val="16"/>
              <c:layout>
                <c:manualLayout>
                  <c:xMode val="edge"/>
                  <c:yMode val="edge"/>
                  <c:x val="0.51886852206078005"/>
                  <c:y val="0.34296089336236263"/>
                </c:manualLayout>
              </c:layout>
              <c:dLblPos val="outEnd"/>
              <c:showVal val="1"/>
            </c:dLbl>
            <c:dLbl>
              <c:idx val="17"/>
              <c:layout>
                <c:manualLayout>
                  <c:xMode val="edge"/>
                  <c:yMode val="edge"/>
                  <c:x val="0.58254784067732956"/>
                  <c:y val="0.27075860002291602"/>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DATOS!$C$24:$R$24</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DATOS!$C$25:$R$25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gapWidth val="70"/>
        <c:axId val="168527360"/>
        <c:axId val="168528896"/>
      </c:barChart>
      <c:lineChart>
        <c:grouping val="standard"/>
        <c:ser>
          <c:idx val="1"/>
          <c:order val="1"/>
          <c:tx>
            <c:strRef>
              <c:f>DATOS!$B$26</c:f>
              <c:strCache>
                <c:ptCount val="1"/>
                <c:pt idx="0">
                  <c:v>EXCELENTE</c:v>
                </c:pt>
              </c:strCache>
            </c:strRef>
          </c:tx>
          <c:spPr>
            <a:ln w="25400">
              <a:solidFill>
                <a:srgbClr val="99CC00"/>
              </a:solidFill>
              <a:prstDash val="solid"/>
            </a:ln>
          </c:spPr>
          <c:marker>
            <c:symbol val="none"/>
          </c:marker>
          <c:cat>
            <c:strRef>
              <c:f>DATOS!$C$24:$R$24</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DATOS!$C$26:$R$26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2"/>
          <c:order val="2"/>
          <c:tx>
            <c:strRef>
              <c:f>DATOS!$B$27</c:f>
              <c:strCache>
                <c:ptCount val="1"/>
                <c:pt idx="0">
                  <c:v>REGULAR</c:v>
                </c:pt>
              </c:strCache>
            </c:strRef>
          </c:tx>
          <c:spPr>
            <a:ln w="25400">
              <a:solidFill>
                <a:srgbClr val="00CCFF"/>
              </a:solidFill>
              <a:prstDash val="solid"/>
            </a:ln>
          </c:spPr>
          <c:marker>
            <c:symbol val="none"/>
          </c:marker>
          <c:cat>
            <c:strRef>
              <c:f>DATOS!$C$24:$R$24</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DATOS!$C$27:$R$27</c:f>
              <c:numCache>
                <c:formatCode>General</c:formatCode>
                <c:ptCount val="12"/>
                <c:pt idx="0">
                  <c:v>3</c:v>
                </c:pt>
                <c:pt idx="1">
                  <c:v>3</c:v>
                </c:pt>
                <c:pt idx="2">
                  <c:v>3</c:v>
                </c:pt>
                <c:pt idx="3">
                  <c:v>3</c:v>
                </c:pt>
                <c:pt idx="4">
                  <c:v>3</c:v>
                </c:pt>
                <c:pt idx="5">
                  <c:v>3</c:v>
                </c:pt>
                <c:pt idx="6">
                  <c:v>3</c:v>
                </c:pt>
                <c:pt idx="7">
                  <c:v>3</c:v>
                </c:pt>
                <c:pt idx="8">
                  <c:v>3</c:v>
                </c:pt>
                <c:pt idx="9">
                  <c:v>3</c:v>
                </c:pt>
                <c:pt idx="10">
                  <c:v>3</c:v>
                </c:pt>
                <c:pt idx="11">
                  <c:v>3</c:v>
                </c:pt>
              </c:numCache>
            </c:numRef>
          </c:val>
          <c:smooth val="1"/>
        </c:ser>
        <c:ser>
          <c:idx val="3"/>
          <c:order val="3"/>
          <c:tx>
            <c:strRef>
              <c:f>DATOS!$B$28</c:f>
              <c:strCache>
                <c:ptCount val="1"/>
                <c:pt idx="0">
                  <c:v>DEFICIENTE</c:v>
                </c:pt>
              </c:strCache>
            </c:strRef>
          </c:tx>
          <c:spPr>
            <a:ln w="25400">
              <a:solidFill>
                <a:srgbClr val="DD0806"/>
              </a:solidFill>
              <a:prstDash val="solid"/>
            </a:ln>
          </c:spPr>
          <c:marker>
            <c:symbol val="none"/>
          </c:marker>
          <c:cat>
            <c:strRef>
              <c:f>DATOS!$C$24:$R$24</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DATOS!$C$28:$R$28</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er>
        <c:marker val="1"/>
        <c:axId val="168527360"/>
        <c:axId val="168528896"/>
      </c:lineChart>
      <c:catAx>
        <c:axId val="168527360"/>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8528896"/>
        <c:crosses val="autoZero"/>
        <c:auto val="1"/>
        <c:lblAlgn val="ctr"/>
        <c:lblOffset val="100"/>
        <c:tickLblSkip val="1"/>
        <c:tickMarkSkip val="1"/>
      </c:catAx>
      <c:valAx>
        <c:axId val="168528896"/>
        <c:scaling>
          <c:orientation val="minMax"/>
        </c:scaling>
        <c:axPos val="l"/>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527360"/>
        <c:crosses val="autoZero"/>
        <c:crossBetween val="between"/>
      </c:valAx>
      <c:spPr>
        <a:noFill/>
        <a:ln w="25400">
          <a:noFill/>
        </a:ln>
      </c:spPr>
    </c:plotArea>
    <c:legend>
      <c:legendPos val="r"/>
      <c:layout>
        <c:manualLayout>
          <c:xMode val="edge"/>
          <c:yMode val="edge"/>
          <c:x val="0.79734622068699179"/>
          <c:y val="0.13153389663875617"/>
          <c:w val="0.18667489111544991"/>
          <c:h val="0.82888238835057004"/>
        </c:manualLayout>
      </c:layout>
      <c:spPr>
        <a:solidFill>
          <a:srgbClr val="FFFFFF"/>
        </a:solidFill>
        <a:ln w="3175">
          <a:solidFill>
            <a:srgbClr val="000000"/>
          </a:solidFill>
          <a:prstDash val="solid"/>
        </a:ln>
      </c:spPr>
      <c:txPr>
        <a:bodyPr/>
        <a:lstStyle/>
        <a:p>
          <a:pPr>
            <a:defRPr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200" b="1"/>
            </a:pPr>
            <a:r>
              <a:rPr lang="es-CO" sz="1200" b="1"/>
              <a:t>% AVANCE DE PROGRAMA DE IMPLEMENTACION Y MANTENIMIENTO DEL S.G.C.</a:t>
            </a:r>
          </a:p>
        </c:rich>
      </c:tx>
    </c:title>
    <c:plotArea>
      <c:layout>
        <c:manualLayout>
          <c:layoutTarget val="inner"/>
          <c:xMode val="edge"/>
          <c:yMode val="edge"/>
          <c:x val="7.8813519211737904E-2"/>
          <c:y val="0.21589911239496357"/>
          <c:w val="0.6637550019362336"/>
          <c:h val="0.4994773958172215"/>
        </c:manualLayout>
      </c:layout>
      <c:barChart>
        <c:barDir val="col"/>
        <c:grouping val="clustered"/>
        <c:ser>
          <c:idx val="0"/>
          <c:order val="0"/>
          <c:tx>
            <c:strRef>
              <c:f>DATOS!$B$39</c:f>
              <c:strCache>
                <c:ptCount val="1"/>
                <c:pt idx="0">
                  <c:v>%AVANCE DE PROGRAMA DE IMPLEMENTACION Y/O MANTENIMIENTO DEL S.G.C.</c:v>
                </c:pt>
              </c:strCache>
            </c:strRef>
          </c:tx>
          <c:spPr>
            <a:solidFill>
              <a:srgbClr val="009900"/>
            </a:solidFill>
            <a:ln w="12700">
              <a:solidFill>
                <a:srgbClr val="000000"/>
              </a:solidFill>
              <a:prstDash val="solid"/>
            </a:ln>
          </c:spPr>
          <c:dLbls>
            <c:dLbl>
              <c:idx val="0"/>
              <c:layout>
                <c:manualLayout>
                  <c:x val="5.417667053913356E-2"/>
                  <c:y val="2.7326746227770881E-2"/>
                </c:manualLayout>
              </c:layout>
              <c:dLblPos val="outEnd"/>
              <c:showVal val="1"/>
            </c:dLbl>
            <c:dLbl>
              <c:idx val="1"/>
              <c:layout>
                <c:manualLayout>
                  <c:x val="-3.8404113420248763E-2"/>
                  <c:y val="-4.3188076772987055E-2"/>
                </c:manualLayout>
              </c:layout>
              <c:dLblPos val="outEnd"/>
              <c:showVal val="1"/>
            </c:dLbl>
            <c:dLbl>
              <c:idx val="2"/>
              <c:layout>
                <c:manualLayout>
                  <c:x val="1.3682931027064261E-2"/>
                  <c:y val="-2.727943503048559E-3"/>
                </c:manualLayout>
              </c:layout>
              <c:dLblPos val="outEnd"/>
              <c:showVal val="1"/>
            </c:dLbl>
            <c:dLbl>
              <c:idx val="3"/>
              <c:layout>
                <c:manualLayout>
                  <c:x val="1.5235790198356353E-2"/>
                  <c:y val="-2.1429623587416874E-2"/>
                </c:manualLayout>
              </c:layout>
              <c:dLblPos val="outEnd"/>
              <c:showVal val="1"/>
            </c:dLbl>
            <c:dLbl>
              <c:idx val="4"/>
              <c:layout>
                <c:manualLayout>
                  <c:x val="9.4277437488873225E-2"/>
                  <c:y val="3.2527155688691411E-2"/>
                </c:manualLayout>
              </c:layout>
              <c:dLblPos val="outEnd"/>
              <c:showVal val="1"/>
            </c:dLbl>
            <c:dLbl>
              <c:idx val="5"/>
              <c:layout>
                <c:manualLayout>
                  <c:x val="0.1748238027623597"/>
                  <c:y val="1.1276841974225798E-2"/>
                </c:manualLayout>
              </c:layout>
              <c:dLblPos val="outEnd"/>
              <c:showVal val="1"/>
            </c:dLbl>
            <c:dLbl>
              <c:idx val="6"/>
              <c:layout>
                <c:manualLayout>
                  <c:x val="0.17328715407472073"/>
                  <c:y val="7.2238417025385734E-2"/>
                </c:manualLayout>
              </c:layout>
              <c:dLblPos val="outEnd"/>
              <c:showVal val="1"/>
            </c:dLbl>
            <c:dLbl>
              <c:idx val="7"/>
              <c:dLblPos val="outEnd"/>
              <c:showVal val="1"/>
            </c:dLbl>
            <c:dLbl>
              <c:idx val="8"/>
              <c:layout>
                <c:manualLayout>
                  <c:x val="-0.19555550699792301"/>
                  <c:y val="1.8050573334861188E-2"/>
                </c:manualLayout>
              </c:layout>
              <c:dLblPos val="outEnd"/>
              <c:showVal val="1"/>
            </c:dLbl>
            <c:dLbl>
              <c:idx val="9"/>
              <c:layout>
                <c:manualLayout>
                  <c:x val="2.4180112731810192E-2"/>
                  <c:y val="-2.249831978141564E-2"/>
                </c:manualLayout>
              </c:layout>
              <c:dLblPos val="outEnd"/>
              <c:showVal val="1"/>
            </c:dLbl>
            <c:dLbl>
              <c:idx val="10"/>
              <c:layout>
                <c:manualLayout>
                  <c:x val="1.5362591397914889E-2"/>
                  <c:y val="1.8050573334861188E-2"/>
                </c:manualLayout>
              </c:layout>
              <c:dLblPos val="outEnd"/>
              <c:showVal val="1"/>
            </c:dLbl>
            <c:dLbl>
              <c:idx val="11"/>
              <c:layout>
                <c:manualLayout>
                  <c:x val="2.1258701832783798E-2"/>
                  <c:y val="1.8050573334861188E-2"/>
                </c:manualLayout>
              </c:layout>
              <c:dLblPos val="outEnd"/>
              <c:showVal val="1"/>
            </c:dLbl>
            <c:dLbl>
              <c:idx val="12"/>
              <c:layout>
                <c:manualLayout>
                  <c:x val="-0.50786848220685399"/>
                  <c:y val="-3.1599806527697048E-3"/>
                </c:manualLayout>
              </c:layout>
              <c:dLblPos val="outEnd"/>
              <c:showVal val="1"/>
            </c:dLbl>
            <c:dLbl>
              <c:idx val="13"/>
              <c:layout>
                <c:manualLayout>
                  <c:xMode val="edge"/>
                  <c:yMode val="edge"/>
                  <c:x val="0.44339673703375732"/>
                  <c:y val="0.33935077869539004"/>
                </c:manualLayout>
              </c:layout>
              <c:dLblPos val="outEnd"/>
              <c:showVal val="1"/>
            </c:dLbl>
            <c:dLbl>
              <c:idx val="14"/>
              <c:layout>
                <c:manualLayout>
                  <c:xMode val="edge"/>
                  <c:yMode val="edge"/>
                  <c:x val="0.46462317657260732"/>
                  <c:y val="0.27436871468989116"/>
                </c:manualLayout>
              </c:layout>
              <c:dLblPos val="outEnd"/>
              <c:showVal val="1"/>
            </c:dLbl>
            <c:dLbl>
              <c:idx val="15"/>
              <c:layout>
                <c:manualLayout>
                  <c:xMode val="edge"/>
                  <c:yMode val="edge"/>
                  <c:x val="0.52358550862496656"/>
                  <c:y val="0.28519905869080475"/>
                </c:manualLayout>
              </c:layout>
              <c:dLblPos val="outEnd"/>
              <c:showVal val="1"/>
            </c:dLbl>
            <c:dLbl>
              <c:idx val="16"/>
              <c:layout>
                <c:manualLayout>
                  <c:xMode val="edge"/>
                  <c:yMode val="edge"/>
                  <c:x val="0.51886852206078005"/>
                  <c:y val="0.34296089336236368"/>
                </c:manualLayout>
              </c:layout>
              <c:dLblPos val="outEnd"/>
              <c:showVal val="1"/>
            </c:dLbl>
            <c:dLbl>
              <c:idx val="17"/>
              <c:layout>
                <c:manualLayout>
                  <c:xMode val="edge"/>
                  <c:yMode val="edge"/>
                  <c:x val="0.58254784067732956"/>
                  <c:y val="0.27075860002291602"/>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DATOS!$C$38:$R$38</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DATOS!$C$39:$R$39</c:f>
              <c:numCache>
                <c:formatCode>0.00%</c:formatCode>
                <c:ptCount val="12"/>
                <c:pt idx="0">
                  <c:v>0.95000000000000062</c:v>
                </c:pt>
                <c:pt idx="1">
                  <c:v>0.9</c:v>
                </c:pt>
                <c:pt idx="2">
                  <c:v>0.95000000000000062</c:v>
                </c:pt>
                <c:pt idx="3" formatCode="0%">
                  <c:v>1</c:v>
                </c:pt>
                <c:pt idx="4" formatCode="0%">
                  <c:v>1</c:v>
                </c:pt>
                <c:pt idx="5" formatCode="0%">
                  <c:v>1</c:v>
                </c:pt>
                <c:pt idx="6" formatCode="0%">
                  <c:v>1</c:v>
                </c:pt>
                <c:pt idx="7" formatCode="0%">
                  <c:v>1</c:v>
                </c:pt>
                <c:pt idx="8" formatCode="0%">
                  <c:v>1</c:v>
                </c:pt>
                <c:pt idx="9" formatCode="0%">
                  <c:v>1</c:v>
                </c:pt>
                <c:pt idx="10" formatCode="0%">
                  <c:v>1</c:v>
                </c:pt>
                <c:pt idx="11" formatCode="0%">
                  <c:v>1</c:v>
                </c:pt>
              </c:numCache>
            </c:numRef>
          </c:val>
        </c:ser>
        <c:gapWidth val="70"/>
        <c:axId val="168777600"/>
        <c:axId val="168779136"/>
      </c:barChart>
      <c:lineChart>
        <c:grouping val="standard"/>
        <c:ser>
          <c:idx val="1"/>
          <c:order val="1"/>
          <c:tx>
            <c:strRef>
              <c:f>DATOS!$B$40</c:f>
              <c:strCache>
                <c:ptCount val="1"/>
                <c:pt idx="0">
                  <c:v>EXCELENTE</c:v>
                </c:pt>
              </c:strCache>
            </c:strRef>
          </c:tx>
          <c:spPr>
            <a:ln w="25400">
              <a:solidFill>
                <a:srgbClr val="99CC00"/>
              </a:solidFill>
              <a:prstDash val="solid"/>
            </a:ln>
          </c:spPr>
          <c:marker>
            <c:symbol val="none"/>
          </c:marker>
          <c:cat>
            <c:strRef>
              <c:f>DATOS!$C$38:$R$38</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DATOS!$C$40:$R$40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ser>
          <c:idx val="2"/>
          <c:order val="2"/>
          <c:tx>
            <c:strRef>
              <c:f>DATOS!$B$41</c:f>
              <c:strCache>
                <c:ptCount val="1"/>
                <c:pt idx="0">
                  <c:v>REGULAR</c:v>
                </c:pt>
              </c:strCache>
            </c:strRef>
          </c:tx>
          <c:spPr>
            <a:ln w="25400">
              <a:solidFill>
                <a:srgbClr val="00CCFF"/>
              </a:solidFill>
              <a:prstDash val="solid"/>
            </a:ln>
          </c:spPr>
          <c:marker>
            <c:symbol val="none"/>
          </c:marker>
          <c:cat>
            <c:strRef>
              <c:f>DATOS!$C$38:$R$38</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DATOS!$C$41:$R$41</c:f>
              <c:numCache>
                <c:formatCode>0%</c:formatCode>
                <c:ptCount val="12"/>
                <c:pt idx="0">
                  <c:v>0.75000000000000244</c:v>
                </c:pt>
                <c:pt idx="1">
                  <c:v>0.75000000000000244</c:v>
                </c:pt>
                <c:pt idx="2">
                  <c:v>0.75000000000000244</c:v>
                </c:pt>
                <c:pt idx="3">
                  <c:v>0.75000000000000244</c:v>
                </c:pt>
                <c:pt idx="4">
                  <c:v>0.75000000000000244</c:v>
                </c:pt>
                <c:pt idx="5">
                  <c:v>0.75000000000000244</c:v>
                </c:pt>
                <c:pt idx="6">
                  <c:v>0.75000000000000244</c:v>
                </c:pt>
                <c:pt idx="7">
                  <c:v>0.75000000000000244</c:v>
                </c:pt>
                <c:pt idx="8">
                  <c:v>0.75000000000000244</c:v>
                </c:pt>
                <c:pt idx="9">
                  <c:v>0.75000000000000244</c:v>
                </c:pt>
                <c:pt idx="10">
                  <c:v>0.75000000000000244</c:v>
                </c:pt>
                <c:pt idx="11">
                  <c:v>0.75000000000000244</c:v>
                </c:pt>
              </c:numCache>
            </c:numRef>
          </c:val>
          <c:smooth val="1"/>
        </c:ser>
        <c:ser>
          <c:idx val="3"/>
          <c:order val="3"/>
          <c:tx>
            <c:strRef>
              <c:f>DATOS!$B$42</c:f>
              <c:strCache>
                <c:ptCount val="1"/>
                <c:pt idx="0">
                  <c:v>DEFICIENTE</c:v>
                </c:pt>
              </c:strCache>
            </c:strRef>
          </c:tx>
          <c:spPr>
            <a:ln w="25400">
              <a:solidFill>
                <a:srgbClr val="DD0806"/>
              </a:solidFill>
              <a:prstDash val="solid"/>
            </a:ln>
          </c:spPr>
          <c:marker>
            <c:symbol val="none"/>
          </c:marker>
          <c:cat>
            <c:strRef>
              <c:f>DATOS!$C$38:$R$38</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DATOS!$C$42:$R$42</c:f>
              <c:numCache>
                <c:formatCode>0%</c:formatCode>
                <c:ptCount val="12"/>
                <c:pt idx="0">
                  <c:v>0.60000000000000064</c:v>
                </c:pt>
                <c:pt idx="1">
                  <c:v>0.60000000000000064</c:v>
                </c:pt>
                <c:pt idx="2">
                  <c:v>0.60000000000000064</c:v>
                </c:pt>
                <c:pt idx="3">
                  <c:v>0.60000000000000064</c:v>
                </c:pt>
                <c:pt idx="4">
                  <c:v>0.60000000000000064</c:v>
                </c:pt>
                <c:pt idx="5">
                  <c:v>0.60000000000000064</c:v>
                </c:pt>
                <c:pt idx="6">
                  <c:v>0.60000000000000064</c:v>
                </c:pt>
                <c:pt idx="7">
                  <c:v>0.60000000000000064</c:v>
                </c:pt>
                <c:pt idx="8">
                  <c:v>0.60000000000000064</c:v>
                </c:pt>
                <c:pt idx="9">
                  <c:v>0.60000000000000064</c:v>
                </c:pt>
                <c:pt idx="10">
                  <c:v>0.60000000000000064</c:v>
                </c:pt>
                <c:pt idx="11">
                  <c:v>0.60000000000000064</c:v>
                </c:pt>
              </c:numCache>
            </c:numRef>
          </c:val>
        </c:ser>
        <c:marker val="1"/>
        <c:axId val="168777600"/>
        <c:axId val="168779136"/>
      </c:lineChart>
      <c:catAx>
        <c:axId val="168777600"/>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8779136"/>
        <c:crosses val="autoZero"/>
        <c:auto val="1"/>
        <c:lblAlgn val="ctr"/>
        <c:lblOffset val="100"/>
        <c:tickLblSkip val="1"/>
        <c:tickMarkSkip val="1"/>
      </c:catAx>
      <c:valAx>
        <c:axId val="168779136"/>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777600"/>
        <c:crosses val="autoZero"/>
        <c:crossBetween val="between"/>
        <c:minorUnit val="0.1"/>
      </c:valAx>
      <c:spPr>
        <a:noFill/>
        <a:ln w="25400">
          <a:noFill/>
        </a:ln>
      </c:spPr>
    </c:plotArea>
    <c:legend>
      <c:legendPos val="r"/>
      <c:layout>
        <c:manualLayout>
          <c:xMode val="edge"/>
          <c:yMode val="edge"/>
          <c:x val="0.76132997719547579"/>
          <c:y val="0.14005691436371287"/>
          <c:w val="0.23363624628888607"/>
          <c:h val="0.69185579681283593"/>
        </c:manualLayout>
      </c:layout>
      <c:spPr>
        <a:solidFill>
          <a:srgbClr val="FFFFFF"/>
        </a:solidFill>
        <a:ln w="3175">
          <a:solidFill>
            <a:srgbClr val="000000"/>
          </a:solidFill>
          <a:prstDash val="solid"/>
        </a:ln>
      </c:spPr>
      <c:txPr>
        <a:bodyPr/>
        <a:lstStyle/>
        <a:p>
          <a:pPr>
            <a:defRPr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SEVERIDAD</a:t>
            </a:r>
            <a:r>
              <a:rPr lang="es-CO" sz="1400" b="1" baseline="0"/>
              <a:t> DE LOS RIESGOS ACTUALIZADOS EN GENERAL</a:t>
            </a:r>
            <a:endParaRPr lang="es-CO" sz="1400" b="1"/>
          </a:p>
        </c:rich>
      </c:tx>
    </c:title>
    <c:plotArea>
      <c:layout>
        <c:manualLayout>
          <c:layoutTarget val="inner"/>
          <c:xMode val="edge"/>
          <c:yMode val="edge"/>
          <c:x val="0.125000143951006"/>
          <c:y val="0.19033093343650084"/>
          <c:w val="0.70200636805645156"/>
          <c:h val="0.46670986190163538"/>
        </c:manualLayout>
      </c:layout>
      <c:barChart>
        <c:barDir val="col"/>
        <c:grouping val="clustered"/>
        <c:ser>
          <c:idx val="0"/>
          <c:order val="0"/>
          <c:tx>
            <c:strRef>
              <c:f>DATOS!$B$57</c:f>
              <c:strCache>
                <c:ptCount val="1"/>
                <c:pt idx="0">
                  <c:v>SEVERIDAD DE LOS RIESGOS ACTUALES EN GENERAL</c:v>
                </c:pt>
              </c:strCache>
            </c:strRef>
          </c:tx>
          <c:spPr>
            <a:solidFill>
              <a:srgbClr val="009900"/>
            </a:solidFill>
            <a:ln w="12700">
              <a:solidFill>
                <a:srgbClr val="000000"/>
              </a:solidFill>
              <a:prstDash val="solid"/>
            </a:ln>
          </c:spPr>
          <c:dLbls>
            <c:dLbl>
              <c:idx val="0"/>
              <c:layout>
                <c:manualLayout>
                  <c:x val="8.1638910180475248E-3"/>
                  <c:y val="-4.6362269731763432E-2"/>
                </c:manualLayout>
              </c:layout>
              <c:dLblPos val="outEnd"/>
              <c:showVal val="1"/>
            </c:dLbl>
            <c:dLbl>
              <c:idx val="1"/>
              <c:layout>
                <c:manualLayout>
                  <c:x val="9.3498710891227205E-3"/>
                  <c:y val="-4.7397836880297396E-2"/>
                </c:manualLayout>
              </c:layout>
              <c:dLblPos val="outEnd"/>
              <c:showVal val="1"/>
            </c:dLbl>
            <c:dLbl>
              <c:idx val="2"/>
              <c:layout>
                <c:manualLayout>
                  <c:x val="1.6415103855658905E-2"/>
                  <c:y val="-4.9602893790609622E-2"/>
                </c:manualLayout>
              </c:layout>
              <c:dLblPos val="outEnd"/>
              <c:showVal val="1"/>
            </c:dLbl>
            <c:dLbl>
              <c:idx val="3"/>
              <c:layout>
                <c:manualLayout>
                  <c:x val="1.5235734317964121E-2"/>
                  <c:y val="-6.4043352458498404E-2"/>
                </c:manualLayout>
              </c:layout>
              <c:dLblPos val="outEnd"/>
              <c:showVal val="1"/>
            </c:dLbl>
            <c:dLbl>
              <c:idx val="4"/>
              <c:layout>
                <c:manualLayout>
                  <c:x val="-1.1776182844401158E-4"/>
                  <c:y val="-4.5904292923137142E-2"/>
                </c:manualLayout>
              </c:layout>
              <c:dLblPos val="outEnd"/>
              <c:showVal val="1"/>
            </c:dLbl>
            <c:dLbl>
              <c:idx val="5"/>
              <c:layout>
                <c:manualLayout>
                  <c:x val="4.441037790630202E-4"/>
                  <c:y val="-4.0252553570122605E-2"/>
                </c:manualLayout>
              </c:layout>
              <c:dLblPos val="outEnd"/>
              <c:showVal val="1"/>
            </c:dLbl>
            <c:dLbl>
              <c:idx val="6"/>
              <c:layout>
                <c:manualLayout>
                  <c:x val="0.18148380018071539"/>
                  <c:y val="-8.7274059673177005E-3"/>
                </c:manualLayout>
              </c:layout>
              <c:dLblPos val="outEnd"/>
              <c:showVal val="1"/>
            </c:dLbl>
            <c:dLbl>
              <c:idx val="7"/>
              <c:dLblPos val="outEnd"/>
              <c:showVal val="1"/>
            </c:dLbl>
            <c:dLbl>
              <c:idx val="8"/>
              <c:layout>
                <c:manualLayout>
                  <c:x val="-0.19555550699792101"/>
                  <c:y val="1.8050573334861188E-2"/>
                </c:manualLayout>
              </c:layout>
              <c:dLblPos val="outEnd"/>
              <c:showVal val="1"/>
            </c:dLbl>
            <c:dLbl>
              <c:idx val="9"/>
              <c:layout>
                <c:manualLayout>
                  <c:x val="-5.1974312637149855E-2"/>
                  <c:y val="-2.3983421619606565E-2"/>
                </c:manualLayout>
              </c:layout>
              <c:dLblPos val="outEnd"/>
              <c:showVal val="1"/>
            </c:dLbl>
            <c:dLbl>
              <c:idx val="10"/>
              <c:layout>
                <c:manualLayout>
                  <c:x val="1.5342936358179604E-2"/>
                  <c:y val="1.8050573334861188E-2"/>
                </c:manualLayout>
              </c:layout>
              <c:dLblPos val="outEnd"/>
              <c:showVal val="1"/>
            </c:dLbl>
            <c:dLbl>
              <c:idx val="11"/>
              <c:layout>
                <c:manualLayout>
                  <c:x val="2.1239086964234211E-2"/>
                  <c:y val="1.8050573334861188E-2"/>
                </c:manualLayout>
              </c:layout>
              <c:dLblPos val="outEnd"/>
              <c:showVal val="1"/>
            </c:dLbl>
            <c:dLbl>
              <c:idx val="12"/>
              <c:layout>
                <c:manualLayout>
                  <c:x val="-0.518449200975444"/>
                  <c:y val="-0.16231553512486901"/>
                </c:manualLayout>
              </c:layout>
              <c:dLblPos val="outEnd"/>
              <c:showVal val="1"/>
            </c:dLbl>
            <c:dLbl>
              <c:idx val="13"/>
              <c:layout>
                <c:manualLayout>
                  <c:xMode val="edge"/>
                  <c:yMode val="edge"/>
                  <c:x val="0.44339673703375732"/>
                  <c:y val="0.33935077869539104"/>
                </c:manualLayout>
              </c:layout>
              <c:dLblPos val="outEnd"/>
              <c:showVal val="1"/>
            </c:dLbl>
            <c:dLbl>
              <c:idx val="14"/>
              <c:layout>
                <c:manualLayout>
                  <c:xMode val="edge"/>
                  <c:yMode val="edge"/>
                  <c:x val="0.46462317657260732"/>
                  <c:y val="0.27436871468989116"/>
                </c:manualLayout>
              </c:layout>
              <c:dLblPos val="outEnd"/>
              <c:showVal val="1"/>
            </c:dLbl>
            <c:dLbl>
              <c:idx val="15"/>
              <c:layout>
                <c:manualLayout>
                  <c:xMode val="edge"/>
                  <c:yMode val="edge"/>
                  <c:x val="0.52358550862496656"/>
                  <c:y val="0.28519905869080475"/>
                </c:manualLayout>
              </c:layout>
              <c:dLblPos val="outEnd"/>
              <c:showVal val="1"/>
            </c:dLbl>
            <c:dLbl>
              <c:idx val="16"/>
              <c:layout>
                <c:manualLayout>
                  <c:xMode val="edge"/>
                  <c:yMode val="edge"/>
                  <c:x val="0.51886852206078005"/>
                  <c:y val="0.34296089336236468"/>
                </c:manualLayout>
              </c:layout>
              <c:dLblPos val="outEnd"/>
              <c:showVal val="1"/>
            </c:dLbl>
            <c:dLbl>
              <c:idx val="17"/>
              <c:layout>
                <c:manualLayout>
                  <c:xMode val="edge"/>
                  <c:yMode val="edge"/>
                  <c:x val="0.58254784067732956"/>
                  <c:y val="0.27075860002291602"/>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DATOS!$C$56:$R$56</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DATOS!$C$57:$R$57</c:f>
              <c:numCache>
                <c:formatCode>0</c:formatCode>
                <c:ptCount val="12"/>
                <c:pt idx="0">
                  <c:v>740</c:v>
                </c:pt>
                <c:pt idx="1">
                  <c:v>740</c:v>
                </c:pt>
                <c:pt idx="2">
                  <c:v>740</c:v>
                </c:pt>
                <c:pt idx="3">
                  <c:v>740</c:v>
                </c:pt>
                <c:pt idx="4">
                  <c:v>740</c:v>
                </c:pt>
                <c:pt idx="5">
                  <c:v>740</c:v>
                </c:pt>
                <c:pt idx="6">
                  <c:v>740</c:v>
                </c:pt>
                <c:pt idx="7">
                  <c:v>740</c:v>
                </c:pt>
                <c:pt idx="8">
                  <c:v>740</c:v>
                </c:pt>
                <c:pt idx="9">
                  <c:v>740</c:v>
                </c:pt>
                <c:pt idx="10">
                  <c:v>740</c:v>
                </c:pt>
                <c:pt idx="11">
                  <c:v>740</c:v>
                </c:pt>
              </c:numCache>
            </c:numRef>
          </c:val>
        </c:ser>
        <c:gapWidth val="70"/>
        <c:axId val="168921344"/>
        <c:axId val="168947712"/>
      </c:barChart>
      <c:lineChart>
        <c:grouping val="standard"/>
        <c:ser>
          <c:idx val="1"/>
          <c:order val="1"/>
          <c:tx>
            <c:strRef>
              <c:f>DATOS!$B$58</c:f>
              <c:strCache>
                <c:ptCount val="1"/>
                <c:pt idx="0">
                  <c:v>EXCELENTE</c:v>
                </c:pt>
              </c:strCache>
            </c:strRef>
          </c:tx>
          <c:spPr>
            <a:ln w="25400">
              <a:solidFill>
                <a:srgbClr val="99CC00"/>
              </a:solidFill>
              <a:prstDash val="solid"/>
            </a:ln>
          </c:spPr>
          <c:marker>
            <c:symbol val="none"/>
          </c:marker>
          <c:cat>
            <c:strRef>
              <c:f>DATOS!$C$56:$R$56</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DATOS!$C$58:$R$58</c:f>
              <c:numCache>
                <c:formatCode>0</c:formatCode>
                <c:ptCount val="12"/>
                <c:pt idx="0">
                  <c:v>740</c:v>
                </c:pt>
                <c:pt idx="1">
                  <c:v>740</c:v>
                </c:pt>
                <c:pt idx="2">
                  <c:v>740</c:v>
                </c:pt>
                <c:pt idx="3">
                  <c:v>740</c:v>
                </c:pt>
                <c:pt idx="4">
                  <c:v>740</c:v>
                </c:pt>
                <c:pt idx="5">
                  <c:v>740</c:v>
                </c:pt>
                <c:pt idx="6">
                  <c:v>740</c:v>
                </c:pt>
                <c:pt idx="7">
                  <c:v>740</c:v>
                </c:pt>
                <c:pt idx="8">
                  <c:v>740</c:v>
                </c:pt>
                <c:pt idx="9">
                  <c:v>740</c:v>
                </c:pt>
                <c:pt idx="10">
                  <c:v>740</c:v>
                </c:pt>
                <c:pt idx="11">
                  <c:v>740</c:v>
                </c:pt>
              </c:numCache>
            </c:numRef>
          </c:val>
        </c:ser>
        <c:ser>
          <c:idx val="2"/>
          <c:order val="2"/>
          <c:tx>
            <c:strRef>
              <c:f>DATOS!$B$59</c:f>
              <c:strCache>
                <c:ptCount val="1"/>
                <c:pt idx="0">
                  <c:v>REGULAR</c:v>
                </c:pt>
              </c:strCache>
            </c:strRef>
          </c:tx>
          <c:spPr>
            <a:ln w="25400">
              <a:solidFill>
                <a:srgbClr val="00CCFF"/>
              </a:solidFill>
              <a:prstDash val="solid"/>
            </a:ln>
          </c:spPr>
          <c:marker>
            <c:symbol val="none"/>
          </c:marker>
          <c:cat>
            <c:strRef>
              <c:f>DATOS!$C$56:$R$56</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DATOS!$C$59:$R$59</c:f>
              <c:numCache>
                <c:formatCode>0</c:formatCode>
                <c:ptCount val="12"/>
                <c:pt idx="0">
                  <c:v>1480</c:v>
                </c:pt>
                <c:pt idx="1">
                  <c:v>1480</c:v>
                </c:pt>
                <c:pt idx="2">
                  <c:v>1480</c:v>
                </c:pt>
                <c:pt idx="3">
                  <c:v>1480</c:v>
                </c:pt>
                <c:pt idx="4">
                  <c:v>1480</c:v>
                </c:pt>
                <c:pt idx="5">
                  <c:v>1480</c:v>
                </c:pt>
                <c:pt idx="6">
                  <c:v>1480</c:v>
                </c:pt>
                <c:pt idx="7">
                  <c:v>1480</c:v>
                </c:pt>
                <c:pt idx="8">
                  <c:v>1480</c:v>
                </c:pt>
                <c:pt idx="9">
                  <c:v>1480</c:v>
                </c:pt>
                <c:pt idx="10">
                  <c:v>1480</c:v>
                </c:pt>
                <c:pt idx="11">
                  <c:v>1480</c:v>
                </c:pt>
              </c:numCache>
            </c:numRef>
          </c:val>
          <c:smooth val="1"/>
        </c:ser>
        <c:ser>
          <c:idx val="3"/>
          <c:order val="3"/>
          <c:tx>
            <c:strRef>
              <c:f>DATOS!$B$60</c:f>
              <c:strCache>
                <c:ptCount val="1"/>
                <c:pt idx="0">
                  <c:v>DEFICIENTE</c:v>
                </c:pt>
              </c:strCache>
            </c:strRef>
          </c:tx>
          <c:spPr>
            <a:ln w="25400">
              <a:solidFill>
                <a:srgbClr val="DD0806"/>
              </a:solidFill>
              <a:prstDash val="solid"/>
            </a:ln>
          </c:spPr>
          <c:marker>
            <c:symbol val="none"/>
          </c:marker>
          <c:cat>
            <c:strRef>
              <c:f>DATOS!$C$56:$R$56</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DATOS!$C$60:$R$60</c:f>
              <c:numCache>
                <c:formatCode>0</c:formatCode>
                <c:ptCount val="12"/>
                <c:pt idx="0">
                  <c:v>2220</c:v>
                </c:pt>
                <c:pt idx="1">
                  <c:v>2220</c:v>
                </c:pt>
                <c:pt idx="2">
                  <c:v>2220</c:v>
                </c:pt>
                <c:pt idx="3">
                  <c:v>2220</c:v>
                </c:pt>
                <c:pt idx="4">
                  <c:v>2220</c:v>
                </c:pt>
                <c:pt idx="5">
                  <c:v>2220</c:v>
                </c:pt>
                <c:pt idx="6">
                  <c:v>2220</c:v>
                </c:pt>
                <c:pt idx="7">
                  <c:v>2220</c:v>
                </c:pt>
                <c:pt idx="8">
                  <c:v>2220</c:v>
                </c:pt>
                <c:pt idx="9">
                  <c:v>2220</c:v>
                </c:pt>
                <c:pt idx="10">
                  <c:v>2220</c:v>
                </c:pt>
                <c:pt idx="11">
                  <c:v>2220</c:v>
                </c:pt>
              </c:numCache>
            </c:numRef>
          </c:val>
        </c:ser>
        <c:marker val="1"/>
        <c:axId val="168921344"/>
        <c:axId val="168947712"/>
      </c:lineChart>
      <c:catAx>
        <c:axId val="168921344"/>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8947712"/>
        <c:crosses val="autoZero"/>
        <c:auto val="1"/>
        <c:lblAlgn val="ctr"/>
        <c:lblOffset val="100"/>
        <c:tickLblSkip val="1"/>
        <c:tickMarkSkip val="1"/>
      </c:catAx>
      <c:valAx>
        <c:axId val="168947712"/>
        <c:scaling>
          <c:orientation val="minMax"/>
        </c:scaling>
        <c:axPos val="l"/>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921344"/>
        <c:crosses val="autoZero"/>
        <c:crossBetween val="between"/>
      </c:valAx>
      <c:spPr>
        <a:noFill/>
        <a:ln w="25400">
          <a:noFill/>
        </a:ln>
      </c:spPr>
    </c:plotArea>
    <c:legend>
      <c:legendPos val="r"/>
      <c:layout>
        <c:manualLayout>
          <c:xMode val="edge"/>
          <c:yMode val="edge"/>
          <c:x val="0.83781786497999222"/>
          <c:y val="0.13153418804422587"/>
          <c:w val="0.14892194828105504"/>
          <c:h val="0.84090888500929661"/>
        </c:manualLayout>
      </c:layout>
      <c:spPr>
        <a:solidFill>
          <a:srgbClr val="FFFFFF"/>
        </a:solidFill>
        <a:ln w="3175">
          <a:solidFill>
            <a:srgbClr val="000000"/>
          </a:solidFill>
          <a:prstDash val="solid"/>
        </a:ln>
      </c:spPr>
      <c:txPr>
        <a:bodyPr/>
        <a:lstStyle/>
        <a:p>
          <a:pPr>
            <a:defRPr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userShapes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a:t>
            </a:r>
            <a:r>
              <a:rPr lang="es-CO" sz="1400" b="1" baseline="0"/>
              <a:t> CUMPLIMIENTO DE AUTOEVALUACION DE LA GESTION</a:t>
            </a:r>
            <a:endParaRPr lang="es-CO" sz="1400" b="1"/>
          </a:p>
        </c:rich>
      </c:tx>
    </c:title>
    <c:plotArea>
      <c:layout>
        <c:manualLayout>
          <c:layoutTarget val="inner"/>
          <c:xMode val="edge"/>
          <c:yMode val="edge"/>
          <c:x val="0.125000143951006"/>
          <c:y val="0.173285504014666"/>
          <c:w val="0.6522495955128913"/>
          <c:h val="0.48375536537428004"/>
        </c:manualLayout>
      </c:layout>
      <c:barChart>
        <c:barDir val="col"/>
        <c:grouping val="clustered"/>
        <c:ser>
          <c:idx val="0"/>
          <c:order val="0"/>
          <c:tx>
            <c:strRef>
              <c:f>DATOS!$B$73</c:f>
              <c:strCache>
                <c:ptCount val="1"/>
                <c:pt idx="0">
                  <c:v>%CUMPLIMIENTO INFORME DE AUTOEVALUACION DE LA GESTION</c:v>
                </c:pt>
              </c:strCache>
            </c:strRef>
          </c:tx>
          <c:spPr>
            <a:solidFill>
              <a:srgbClr val="009900"/>
            </a:solidFill>
            <a:ln w="12700">
              <a:solidFill>
                <a:srgbClr val="000000"/>
              </a:solidFill>
              <a:prstDash val="solid"/>
            </a:ln>
          </c:spPr>
          <c:dLbls>
            <c:dLbl>
              <c:idx val="0"/>
              <c:layout>
                <c:manualLayout>
                  <c:x val="-3.2154028691619052E-3"/>
                  <c:y val="-2.7304009700073605E-3"/>
                </c:manualLayout>
              </c:layout>
              <c:dLblPos val="outEnd"/>
              <c:showVal val="1"/>
            </c:dLbl>
            <c:dLbl>
              <c:idx val="1"/>
              <c:layout>
                <c:manualLayout>
                  <c:x val="-1.3008305468665784E-4"/>
                  <c:y val="-2.7304009700073605E-3"/>
                </c:manualLayout>
              </c:layout>
              <c:dLblPos val="outEnd"/>
              <c:showVal val="1"/>
            </c:dLbl>
            <c:dLbl>
              <c:idx val="2"/>
              <c:layout>
                <c:manualLayout>
                  <c:x val="5.4561535972387012E-3"/>
                  <c:y val="-7.1701425374887193E-3"/>
                </c:manualLayout>
              </c:layout>
              <c:dLblPos val="outEnd"/>
              <c:showVal val="1"/>
            </c:dLbl>
            <c:dLbl>
              <c:idx val="3"/>
              <c:layout>
                <c:manualLayout>
                  <c:x val="1.5235681156293819E-2"/>
                  <c:y val="-8.8808196014189267E-3"/>
                </c:manualLayout>
              </c:layout>
              <c:dLblPos val="outEnd"/>
              <c:showVal val="1"/>
            </c:dLbl>
            <c:dLbl>
              <c:idx val="4"/>
              <c:layout>
                <c:manualLayout>
                  <c:x val="9.4277424226081347E-2"/>
                  <c:y val="1.5554130733816987E-2"/>
                </c:manualLayout>
              </c:layout>
              <c:dLblPos val="outEnd"/>
              <c:showVal val="1"/>
            </c:dLbl>
            <c:dLbl>
              <c:idx val="5"/>
              <c:layout>
                <c:manualLayout>
                  <c:x val="0.16395491317010041"/>
                  <c:y val="3.0795528316884214E-3"/>
                </c:manualLayout>
              </c:layout>
              <c:dLblPos val="outEnd"/>
              <c:showVal val="1"/>
            </c:dLbl>
            <c:dLbl>
              <c:idx val="6"/>
              <c:layout>
                <c:manualLayout>
                  <c:x val="0.17602696580735641"/>
                  <c:y val="2.1318978792616156E-2"/>
                </c:manualLayout>
              </c:layout>
              <c:dLblPos val="outEnd"/>
              <c:showVal val="1"/>
            </c:dLbl>
            <c:dLbl>
              <c:idx val="7"/>
              <c:dLblPos val="outEnd"/>
              <c:showVal val="1"/>
            </c:dLbl>
            <c:dLbl>
              <c:idx val="8"/>
              <c:layout>
                <c:manualLayout>
                  <c:x val="-0.19555549108293202"/>
                  <c:y val="1.8050573334861188E-2"/>
                </c:manualLayout>
              </c:layout>
              <c:dLblPos val="outEnd"/>
              <c:showVal val="1"/>
            </c:dLbl>
            <c:dLbl>
              <c:idx val="9"/>
              <c:layout>
                <c:manualLayout>
                  <c:x val="0.18300938410096043"/>
                  <c:y val="4.7321270164355313E-2"/>
                </c:manualLayout>
              </c:layout>
              <c:dLblPos val="outEnd"/>
              <c:showVal val="1"/>
            </c:dLbl>
            <c:dLbl>
              <c:idx val="10"/>
              <c:layout>
                <c:manualLayout>
                  <c:x val="1.5362591397914889E-2"/>
                  <c:y val="1.8050573334861188E-2"/>
                </c:manualLayout>
              </c:layout>
              <c:dLblPos val="outEnd"/>
              <c:showVal val="1"/>
            </c:dLbl>
            <c:dLbl>
              <c:idx val="11"/>
              <c:layout>
                <c:manualLayout>
                  <c:x val="2.1258701832784988E-2"/>
                  <c:y val="1.8050573334861188E-2"/>
                </c:manualLayout>
              </c:layout>
              <c:dLblPos val="outEnd"/>
              <c:showVal val="1"/>
            </c:dLbl>
            <c:dLbl>
              <c:idx val="12"/>
              <c:layout>
                <c:manualLayout>
                  <c:x val="-0.50786848220685399"/>
                  <c:y val="9.7429114383669232E-2"/>
                </c:manualLayout>
              </c:layout>
              <c:dLblPos val="outEnd"/>
              <c:showVal val="1"/>
            </c:dLbl>
            <c:dLbl>
              <c:idx val="13"/>
              <c:layout>
                <c:manualLayout>
                  <c:xMode val="edge"/>
                  <c:yMode val="edge"/>
                  <c:x val="0.44339673703375732"/>
                  <c:y val="0.33935077869539104"/>
                </c:manualLayout>
              </c:layout>
              <c:dLblPos val="outEnd"/>
              <c:showVal val="1"/>
            </c:dLbl>
            <c:dLbl>
              <c:idx val="14"/>
              <c:layout>
                <c:manualLayout>
                  <c:xMode val="edge"/>
                  <c:yMode val="edge"/>
                  <c:x val="0.46462317657260732"/>
                  <c:y val="0.27436871468989216"/>
                </c:manualLayout>
              </c:layout>
              <c:dLblPos val="outEnd"/>
              <c:showVal val="1"/>
            </c:dLbl>
            <c:dLbl>
              <c:idx val="15"/>
              <c:layout>
                <c:manualLayout>
                  <c:xMode val="edge"/>
                  <c:yMode val="edge"/>
                  <c:x val="0.52358550862496656"/>
                  <c:y val="0.28519905869080475"/>
                </c:manualLayout>
              </c:layout>
              <c:dLblPos val="outEnd"/>
              <c:showVal val="1"/>
            </c:dLbl>
            <c:dLbl>
              <c:idx val="16"/>
              <c:layout>
                <c:manualLayout>
                  <c:xMode val="edge"/>
                  <c:yMode val="edge"/>
                  <c:x val="0.51886852206078005"/>
                  <c:y val="0.34296089336236468"/>
                </c:manualLayout>
              </c:layout>
              <c:dLblPos val="outEnd"/>
              <c:showVal val="1"/>
            </c:dLbl>
            <c:dLbl>
              <c:idx val="17"/>
              <c:layout>
                <c:manualLayout>
                  <c:xMode val="edge"/>
                  <c:yMode val="edge"/>
                  <c:x val="0.58254784067732956"/>
                  <c:y val="0.27075860002291602"/>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DATOS!$C$72:$R$72</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ABR-JUN 2014</c:v>
                </c:pt>
                <c:pt idx="11">
                  <c:v>OCT-DIC 2014</c:v>
                </c:pt>
              </c:strCache>
            </c:strRef>
          </c:cat>
          <c:val>
            <c:numRef>
              <c:f>DATOS!$C$73:$R$73</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gapWidth val="70"/>
        <c:axId val="168999552"/>
        <c:axId val="168837504"/>
      </c:barChart>
      <c:lineChart>
        <c:grouping val="standard"/>
        <c:ser>
          <c:idx val="1"/>
          <c:order val="1"/>
          <c:tx>
            <c:strRef>
              <c:f>DATOS!$B$74</c:f>
              <c:strCache>
                <c:ptCount val="1"/>
                <c:pt idx="0">
                  <c:v>EXCELENTE</c:v>
                </c:pt>
              </c:strCache>
            </c:strRef>
          </c:tx>
          <c:spPr>
            <a:ln w="25400">
              <a:solidFill>
                <a:srgbClr val="99CC00"/>
              </a:solidFill>
              <a:prstDash val="solid"/>
            </a:ln>
          </c:spPr>
          <c:marker>
            <c:symbol val="none"/>
          </c:marker>
          <c:cat>
            <c:strRef>
              <c:f>DATOS!$C$72:$R$72</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ABR-JUN 2014</c:v>
                </c:pt>
                <c:pt idx="11">
                  <c:v>OCT-DIC 2014</c:v>
                </c:pt>
              </c:strCache>
            </c:strRef>
          </c:cat>
          <c:val>
            <c:numRef>
              <c:f>DATOS!$C$74:$R$74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ser>
          <c:idx val="2"/>
          <c:order val="2"/>
          <c:tx>
            <c:strRef>
              <c:f>DATOS!$B$75</c:f>
              <c:strCache>
                <c:ptCount val="1"/>
                <c:pt idx="0">
                  <c:v>REGULAR</c:v>
                </c:pt>
              </c:strCache>
            </c:strRef>
          </c:tx>
          <c:spPr>
            <a:ln w="25400">
              <a:solidFill>
                <a:srgbClr val="00CCFF"/>
              </a:solidFill>
              <a:prstDash val="solid"/>
            </a:ln>
          </c:spPr>
          <c:marker>
            <c:symbol val="none"/>
          </c:marker>
          <c:cat>
            <c:strRef>
              <c:f>DATOS!$C$72:$R$72</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ABR-JUN 2014</c:v>
                </c:pt>
                <c:pt idx="11">
                  <c:v>OCT-DIC 2014</c:v>
                </c:pt>
              </c:strCache>
            </c:strRef>
          </c:cat>
          <c:val>
            <c:numRef>
              <c:f>DATOS!$C$75:$R$75</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1"/>
        </c:ser>
        <c:ser>
          <c:idx val="3"/>
          <c:order val="3"/>
          <c:tx>
            <c:strRef>
              <c:f>DATOS!$B$76</c:f>
              <c:strCache>
                <c:ptCount val="1"/>
                <c:pt idx="0">
                  <c:v>DEFICIENTE</c:v>
                </c:pt>
              </c:strCache>
            </c:strRef>
          </c:tx>
          <c:spPr>
            <a:ln w="25400">
              <a:solidFill>
                <a:srgbClr val="DD0806"/>
              </a:solidFill>
              <a:prstDash val="solid"/>
            </a:ln>
          </c:spPr>
          <c:marker>
            <c:symbol val="none"/>
          </c:marker>
          <c:cat>
            <c:strRef>
              <c:f>DATOS!$C$72:$R$72</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ABR-JUN 2014</c:v>
                </c:pt>
                <c:pt idx="11">
                  <c:v>OCT-DIC 2014</c:v>
                </c:pt>
              </c:strCache>
            </c:strRef>
          </c:cat>
          <c:val>
            <c:numRef>
              <c:f>DATOS!$C$76:$R$76</c:f>
              <c:numCache>
                <c:formatCode>0%</c:formatCode>
                <c:ptCount val="12"/>
                <c:pt idx="0">
                  <c:v>0.8</c:v>
                </c:pt>
                <c:pt idx="1">
                  <c:v>0.8</c:v>
                </c:pt>
                <c:pt idx="2">
                  <c:v>0.8</c:v>
                </c:pt>
                <c:pt idx="3">
                  <c:v>0.8</c:v>
                </c:pt>
                <c:pt idx="4">
                  <c:v>0.8</c:v>
                </c:pt>
                <c:pt idx="5">
                  <c:v>0.8</c:v>
                </c:pt>
                <c:pt idx="6">
                  <c:v>0.8</c:v>
                </c:pt>
                <c:pt idx="7">
                  <c:v>0.8</c:v>
                </c:pt>
                <c:pt idx="8">
                  <c:v>0.8</c:v>
                </c:pt>
                <c:pt idx="9">
                  <c:v>0.8</c:v>
                </c:pt>
                <c:pt idx="10">
                  <c:v>0.8</c:v>
                </c:pt>
                <c:pt idx="11">
                  <c:v>0.8</c:v>
                </c:pt>
              </c:numCache>
            </c:numRef>
          </c:val>
        </c:ser>
        <c:marker val="1"/>
        <c:axId val="168999552"/>
        <c:axId val="168837504"/>
      </c:lineChart>
      <c:catAx>
        <c:axId val="168999552"/>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8837504"/>
        <c:crosses val="autoZero"/>
        <c:auto val="1"/>
        <c:lblAlgn val="ctr"/>
        <c:lblOffset val="100"/>
        <c:tickLblSkip val="1"/>
        <c:tickMarkSkip val="1"/>
      </c:catAx>
      <c:valAx>
        <c:axId val="168837504"/>
        <c:scaling>
          <c:orientation val="minMax"/>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8999552"/>
        <c:crosses val="autoZero"/>
        <c:crossBetween val="between"/>
      </c:valAx>
      <c:spPr>
        <a:noFill/>
        <a:ln w="25400">
          <a:noFill/>
        </a:ln>
      </c:spPr>
    </c:plotArea>
    <c:legend>
      <c:legendPos val="r"/>
      <c:layout>
        <c:manualLayout>
          <c:xMode val="edge"/>
          <c:yMode val="edge"/>
          <c:x val="0.78259109049724951"/>
          <c:y val="0.16907403255699158"/>
          <c:w val="0.20138798403624233"/>
          <c:h val="0.7822836001867044"/>
        </c:manualLayout>
      </c:layout>
      <c:spPr>
        <a:solidFill>
          <a:srgbClr val="FFFFFF"/>
        </a:solidFill>
        <a:ln w="3175">
          <a:solidFill>
            <a:srgbClr val="000000"/>
          </a:solidFill>
          <a:prstDash val="solid"/>
        </a:ln>
      </c:spPr>
      <c:txPr>
        <a:bodyPr/>
        <a:lstStyle/>
        <a:p>
          <a:pPr>
            <a:defRPr sz="55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a:ea typeface="Arial"/>
          <a:cs typeface="Arial"/>
        </a:defRPr>
      </a:pPr>
      <a:endParaRPr lang="es-ES"/>
    </a:p>
  </c:txPr>
  <c:externalData r:id="rId1"/>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CO"/>
              <a:t>% CRECIMIENTO DE</a:t>
            </a:r>
            <a:r>
              <a:rPr lang="es-CO" baseline="0"/>
              <a:t> CLIENTES</a:t>
            </a:r>
            <a:endParaRPr lang="es-CO"/>
          </a:p>
        </c:rich>
      </c:tx>
    </c:title>
    <c:plotArea>
      <c:layout>
        <c:manualLayout>
          <c:layoutTarget val="inner"/>
          <c:xMode val="edge"/>
          <c:yMode val="edge"/>
          <c:x val="8.1826682637877346E-2"/>
          <c:y val="3.0841980089625819E-2"/>
          <c:w val="0.5441274976583379"/>
          <c:h val="0.88411491725055591"/>
        </c:manualLayout>
      </c:layout>
      <c:lineChart>
        <c:grouping val="standard"/>
        <c:ser>
          <c:idx val="0"/>
          <c:order val="0"/>
          <c:tx>
            <c:strRef>
              <c:f>DATOS!$A$9</c:f>
              <c:strCache>
                <c:ptCount val="1"/>
                <c:pt idx="0">
                  <c:v>%CRECIMIENTO DE CLIENTES</c:v>
                </c:pt>
              </c:strCache>
            </c:strRef>
          </c:tx>
          <c:spPr>
            <a:ln w="28575">
              <a:solidFill>
                <a:srgbClr val="006600"/>
              </a:solidFill>
            </a:ln>
          </c:spPr>
          <c:marker>
            <c:symbol val="circle"/>
            <c:size val="7"/>
            <c:spPr>
              <a:solidFill>
                <a:srgbClr val="0000CC"/>
              </a:solidFill>
            </c:spPr>
          </c:marker>
          <c:dLbls>
            <c:dLbl>
              <c:idx val="0"/>
              <c:layout>
                <c:manualLayout>
                  <c:x val="-6.3066944238304085E-2"/>
                  <c:y val="-7.7921958782274356E-2"/>
                </c:manualLayout>
              </c:layout>
              <c:showVal val="1"/>
            </c:dLbl>
            <c:dLbl>
              <c:idx val="1"/>
              <c:layout>
                <c:manualLayout>
                  <c:x val="1.590459540413271E-2"/>
                  <c:y val="9.2046220763315374E-3"/>
                </c:manualLayout>
              </c:layout>
              <c:showVal val="1"/>
            </c:dLbl>
            <c:dLbl>
              <c:idx val="2"/>
              <c:layout>
                <c:manualLayout>
                  <c:x val="-8.8911865446315609E-3"/>
                  <c:y val="7.7984090189784402E-2"/>
                </c:manualLayout>
              </c:layout>
              <c:showVal val="1"/>
            </c:dLbl>
            <c:dLbl>
              <c:idx val="3"/>
              <c:layout>
                <c:manualLayout>
                  <c:x val="-1.9572506325501851E-2"/>
                  <c:y val="-6.7835404310752107E-2"/>
                </c:manualLayout>
              </c:layout>
              <c:showVal val="1"/>
            </c:dLbl>
            <c:dLbl>
              <c:idx val="4"/>
              <c:layout>
                <c:manualLayout>
                  <c:x val="-6.4916186521469764E-3"/>
                  <c:y val="-2.3025315838129813E-2"/>
                </c:manualLayout>
              </c:layout>
              <c:showVal val="1"/>
            </c:dLbl>
            <c:txPr>
              <a:bodyPr/>
              <a:lstStyle/>
              <a:p>
                <a:pPr>
                  <a:defRPr lang="es-CO" b="1"/>
                </a:pPr>
                <a:endParaRPr lang="es-ES"/>
              </a:p>
            </c:txPr>
            <c:showVal val="1"/>
          </c:dLbls>
          <c:cat>
            <c:strRef>
              <c:f>DATOS!$B$8:$Q$8</c:f>
              <c:strCache>
                <c:ptCount val="6"/>
                <c:pt idx="0">
                  <c:v>JUL-SEP/2013</c:v>
                </c:pt>
                <c:pt idx="1">
                  <c:v>OCT-DIC/2013</c:v>
                </c:pt>
                <c:pt idx="2">
                  <c:v>ENE-MAR 2014</c:v>
                </c:pt>
                <c:pt idx="3">
                  <c:v> ABR-JUN 2014</c:v>
                </c:pt>
                <c:pt idx="4">
                  <c:v>JUL-SEPT 2014</c:v>
                </c:pt>
                <c:pt idx="5">
                  <c:v>OCT-DIC 2014</c:v>
                </c:pt>
              </c:strCache>
            </c:strRef>
          </c:cat>
          <c:val>
            <c:numRef>
              <c:f>DATOS!$B$9:$Q$9</c:f>
              <c:numCache>
                <c:formatCode>0.00%</c:formatCode>
                <c:ptCount val="6"/>
                <c:pt idx="0">
                  <c:v>7.9000000000000355E-3</c:v>
                </c:pt>
                <c:pt idx="1">
                  <c:v>2.3400000000000004E-2</c:v>
                </c:pt>
                <c:pt idx="2">
                  <c:v>-1.5267175572519153E-2</c:v>
                </c:pt>
                <c:pt idx="3" formatCode="General">
                  <c:v>0</c:v>
                </c:pt>
                <c:pt idx="4">
                  <c:v>-7.7519379844961578E-3</c:v>
                </c:pt>
                <c:pt idx="5">
                  <c:v>-1.5625000000000003E-2</c:v>
                </c:pt>
              </c:numCache>
            </c:numRef>
          </c:val>
          <c:smooth val="1"/>
        </c:ser>
        <c:ser>
          <c:idx val="1"/>
          <c:order val="1"/>
          <c:tx>
            <c:strRef>
              <c:f>DATOS!$A$10</c:f>
              <c:strCache>
                <c:ptCount val="1"/>
                <c:pt idx="0">
                  <c:v>EXCELENTE</c:v>
                </c:pt>
              </c:strCache>
            </c:strRef>
          </c:tx>
          <c:spPr>
            <a:ln w="31750">
              <a:solidFill>
                <a:srgbClr val="92D050"/>
              </a:solidFill>
            </a:ln>
          </c:spPr>
          <c:marker>
            <c:symbol val="none"/>
          </c:marker>
          <c:cat>
            <c:strRef>
              <c:f>DATOS!$B$8:$Q$8</c:f>
              <c:strCache>
                <c:ptCount val="6"/>
                <c:pt idx="0">
                  <c:v>JUL-SEP/2013</c:v>
                </c:pt>
                <c:pt idx="1">
                  <c:v>OCT-DIC/2013</c:v>
                </c:pt>
                <c:pt idx="2">
                  <c:v>ENE-MAR 2014</c:v>
                </c:pt>
                <c:pt idx="3">
                  <c:v> ABR-JUN 2014</c:v>
                </c:pt>
                <c:pt idx="4">
                  <c:v>JUL-SEPT 2014</c:v>
                </c:pt>
                <c:pt idx="5">
                  <c:v>OCT-DIC 2014</c:v>
                </c:pt>
              </c:strCache>
            </c:strRef>
          </c:cat>
          <c:val>
            <c:numRef>
              <c:f>DATOS!$B$10:$Q$10</c:f>
              <c:numCache>
                <c:formatCode>0%</c:formatCode>
                <c:ptCount val="6"/>
                <c:pt idx="0">
                  <c:v>2.0000000000000011E-2</c:v>
                </c:pt>
                <c:pt idx="1">
                  <c:v>2.0000000000000011E-2</c:v>
                </c:pt>
                <c:pt idx="2">
                  <c:v>2.0000000000000011E-2</c:v>
                </c:pt>
                <c:pt idx="3">
                  <c:v>2.0000000000000011E-2</c:v>
                </c:pt>
                <c:pt idx="4">
                  <c:v>2.0000000000000011E-2</c:v>
                </c:pt>
                <c:pt idx="5">
                  <c:v>2.0000000000000011E-2</c:v>
                </c:pt>
              </c:numCache>
            </c:numRef>
          </c:val>
        </c:ser>
        <c:ser>
          <c:idx val="2"/>
          <c:order val="2"/>
          <c:tx>
            <c:strRef>
              <c:f>DATOS!$A$11</c:f>
              <c:strCache>
                <c:ptCount val="1"/>
                <c:pt idx="0">
                  <c:v>REGULAR</c:v>
                </c:pt>
              </c:strCache>
            </c:strRef>
          </c:tx>
          <c:spPr>
            <a:ln w="31750">
              <a:solidFill>
                <a:srgbClr val="00B0F0"/>
              </a:solidFill>
            </a:ln>
          </c:spPr>
          <c:marker>
            <c:symbol val="none"/>
          </c:marker>
          <c:cat>
            <c:strRef>
              <c:f>DATOS!$B$8:$Q$8</c:f>
              <c:strCache>
                <c:ptCount val="6"/>
                <c:pt idx="0">
                  <c:v>JUL-SEP/2013</c:v>
                </c:pt>
                <c:pt idx="1">
                  <c:v>OCT-DIC/2013</c:v>
                </c:pt>
                <c:pt idx="2">
                  <c:v>ENE-MAR 2014</c:v>
                </c:pt>
                <c:pt idx="3">
                  <c:v> ABR-JUN 2014</c:v>
                </c:pt>
                <c:pt idx="4">
                  <c:v>JUL-SEPT 2014</c:v>
                </c:pt>
                <c:pt idx="5">
                  <c:v>OCT-DIC 2014</c:v>
                </c:pt>
              </c:strCache>
            </c:strRef>
          </c:cat>
          <c:val>
            <c:numRef>
              <c:f>DATOS!$B$11:$Q$11</c:f>
              <c:numCache>
                <c:formatCode>0.0%</c:formatCode>
                <c:ptCount val="6"/>
                <c:pt idx="0">
                  <c:v>1.5000000000000025E-2</c:v>
                </c:pt>
                <c:pt idx="1">
                  <c:v>1.5000000000000025E-2</c:v>
                </c:pt>
                <c:pt idx="2">
                  <c:v>1.5000000000000025E-2</c:v>
                </c:pt>
                <c:pt idx="3">
                  <c:v>1.5000000000000025E-2</c:v>
                </c:pt>
                <c:pt idx="4">
                  <c:v>1.5000000000000025E-2</c:v>
                </c:pt>
                <c:pt idx="5">
                  <c:v>1.5000000000000025E-2</c:v>
                </c:pt>
              </c:numCache>
            </c:numRef>
          </c:val>
        </c:ser>
        <c:ser>
          <c:idx val="3"/>
          <c:order val="3"/>
          <c:tx>
            <c:strRef>
              <c:f>DATOS!$A$12</c:f>
              <c:strCache>
                <c:ptCount val="1"/>
                <c:pt idx="0">
                  <c:v>DEFICIENTE</c:v>
                </c:pt>
              </c:strCache>
            </c:strRef>
          </c:tx>
          <c:cat>
            <c:strRef>
              <c:f>DATOS!$B$8:$Q$8</c:f>
              <c:strCache>
                <c:ptCount val="6"/>
                <c:pt idx="0">
                  <c:v>JUL-SEP/2013</c:v>
                </c:pt>
                <c:pt idx="1">
                  <c:v>OCT-DIC/2013</c:v>
                </c:pt>
                <c:pt idx="2">
                  <c:v>ENE-MAR 2014</c:v>
                </c:pt>
                <c:pt idx="3">
                  <c:v> ABR-JUN 2014</c:v>
                </c:pt>
                <c:pt idx="4">
                  <c:v>JUL-SEPT 2014</c:v>
                </c:pt>
                <c:pt idx="5">
                  <c:v>OCT-DIC 2014</c:v>
                </c:pt>
              </c:strCache>
            </c:strRef>
          </c:cat>
          <c:val>
            <c:numRef>
              <c:f>DATOS!$B$12:$Q$12</c:f>
              <c:numCache>
                <c:formatCode>0.0%</c:formatCode>
                <c:ptCount val="6"/>
                <c:pt idx="0">
                  <c:v>1.0000000000000005E-2</c:v>
                </c:pt>
                <c:pt idx="1">
                  <c:v>1.0000000000000005E-2</c:v>
                </c:pt>
                <c:pt idx="2">
                  <c:v>1.0000000000000005E-2</c:v>
                </c:pt>
                <c:pt idx="3">
                  <c:v>1.0000000000000005E-2</c:v>
                </c:pt>
                <c:pt idx="4">
                  <c:v>1.0000000000000005E-2</c:v>
                </c:pt>
                <c:pt idx="5">
                  <c:v>1.0000000000000005E-2</c:v>
                </c:pt>
              </c:numCache>
            </c:numRef>
          </c:val>
        </c:ser>
        <c:marker val="1"/>
        <c:axId val="168884864"/>
        <c:axId val="169021824"/>
      </c:lineChart>
      <c:catAx>
        <c:axId val="168884864"/>
        <c:scaling>
          <c:orientation val="minMax"/>
        </c:scaling>
        <c:axPos val="b"/>
        <c:tickLblPos val="nextTo"/>
        <c:txPr>
          <a:bodyPr rot="-5400000" vert="horz"/>
          <a:lstStyle/>
          <a:p>
            <a:pPr>
              <a:defRPr lang="es-CO" sz="900" b="1"/>
            </a:pPr>
            <a:endParaRPr lang="es-ES"/>
          </a:p>
        </c:txPr>
        <c:crossAx val="169021824"/>
        <c:crosses val="autoZero"/>
        <c:auto val="1"/>
        <c:lblAlgn val="ctr"/>
        <c:lblOffset val="100"/>
      </c:catAx>
      <c:valAx>
        <c:axId val="169021824"/>
        <c:scaling>
          <c:orientation val="minMax"/>
        </c:scaling>
        <c:axPos val="l"/>
        <c:numFmt formatCode="0.00%" sourceLinked="1"/>
        <c:tickLblPos val="nextTo"/>
        <c:txPr>
          <a:bodyPr/>
          <a:lstStyle/>
          <a:p>
            <a:pPr>
              <a:defRPr lang="es-CO"/>
            </a:pPr>
            <a:endParaRPr lang="es-ES"/>
          </a:p>
        </c:txPr>
        <c:crossAx val="168884864"/>
        <c:crosses val="autoZero"/>
        <c:crossBetween val="between"/>
      </c:valAx>
    </c:plotArea>
    <c:legend>
      <c:legendPos val="r"/>
      <c:layout>
        <c:manualLayout>
          <c:xMode val="edge"/>
          <c:yMode val="edge"/>
          <c:x val="0.75310114039695719"/>
          <c:y val="9.886524698485484E-2"/>
          <c:w val="0.22502167464503667"/>
          <c:h val="0.79039698633484323"/>
        </c:manualLayout>
      </c:layout>
      <c:txPr>
        <a:bodyPr/>
        <a:lstStyle/>
        <a:p>
          <a:pPr>
            <a:defRPr lang="es-CO" b="1"/>
          </a:pPr>
          <a:endParaRPr lang="es-ES"/>
        </a:p>
      </c:txPr>
    </c:legend>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a:pPr>
            <a:r>
              <a:rPr lang="es-CO" sz="1400"/>
              <a:t>% EFICIENCIA PLAN DE MEJORAMIENTO COMERCIAL</a:t>
            </a:r>
          </a:p>
        </c:rich>
      </c:tx>
    </c:title>
    <c:plotArea>
      <c:layout>
        <c:manualLayout>
          <c:layoutTarget val="inner"/>
          <c:xMode val="edge"/>
          <c:yMode val="edge"/>
          <c:x val="0.11728601798078422"/>
          <c:y val="4.6260498687663965E-2"/>
          <c:w val="0.69044859818434767"/>
          <c:h val="0.69000918635170605"/>
        </c:manualLayout>
      </c:layout>
      <c:barChart>
        <c:barDir val="col"/>
        <c:grouping val="clustered"/>
        <c:ser>
          <c:idx val="0"/>
          <c:order val="0"/>
          <c:tx>
            <c:strRef>
              <c:f>DATOS!$A$48</c:f>
              <c:strCache>
                <c:ptCount val="1"/>
                <c:pt idx="0">
                  <c:v>% EFICIENCIA PLAN MEJORAMIENTO-COMERCIAL</c:v>
                </c:pt>
              </c:strCache>
            </c:strRef>
          </c:tx>
          <c:spPr>
            <a:solidFill>
              <a:srgbClr val="006600"/>
            </a:solidFill>
          </c:spPr>
          <c:dLbls>
            <c:txPr>
              <a:bodyPr/>
              <a:lstStyle/>
              <a:p>
                <a:pPr>
                  <a:defRPr lang="es-CO" b="1"/>
                </a:pPr>
                <a:endParaRPr lang="es-ES"/>
              </a:p>
            </c:txPr>
            <c:showVal val="1"/>
          </c:dLbls>
          <c:trendline>
            <c:trendlineType val="linear"/>
          </c:trendline>
          <c:cat>
            <c:strRef>
              <c:f>DATOS!$B$47:$Q$47</c:f>
              <c:strCache>
                <c:ptCount val="6"/>
                <c:pt idx="0">
                  <c:v>JUL-SEP/2013</c:v>
                </c:pt>
                <c:pt idx="1">
                  <c:v>OCT-DIC/2013</c:v>
                </c:pt>
                <c:pt idx="2">
                  <c:v>ENE-MAR 2014</c:v>
                </c:pt>
                <c:pt idx="3">
                  <c:v>ABR-JUN 2014</c:v>
                </c:pt>
                <c:pt idx="4">
                  <c:v>JUL-SEPT  2014</c:v>
                </c:pt>
                <c:pt idx="5">
                  <c:v>OCT-DIC 2014</c:v>
                </c:pt>
              </c:strCache>
            </c:strRef>
          </c:cat>
          <c:val>
            <c:numRef>
              <c:f>DATOS!$B$48:$Q$48</c:f>
              <c:numCache>
                <c:formatCode>0%</c:formatCode>
                <c:ptCount val="6"/>
                <c:pt idx="0">
                  <c:v>1</c:v>
                </c:pt>
                <c:pt idx="1">
                  <c:v>1</c:v>
                </c:pt>
                <c:pt idx="2">
                  <c:v>1</c:v>
                </c:pt>
                <c:pt idx="3">
                  <c:v>1</c:v>
                </c:pt>
                <c:pt idx="4">
                  <c:v>1</c:v>
                </c:pt>
              </c:numCache>
            </c:numRef>
          </c:val>
        </c:ser>
        <c:gapWidth val="75"/>
        <c:axId val="169066496"/>
        <c:axId val="169068032"/>
      </c:barChart>
      <c:lineChart>
        <c:grouping val="standard"/>
        <c:ser>
          <c:idx val="1"/>
          <c:order val="1"/>
          <c:tx>
            <c:strRef>
              <c:f>DATOS!$A$49</c:f>
              <c:strCache>
                <c:ptCount val="1"/>
                <c:pt idx="0">
                  <c:v>EXCELENTE</c:v>
                </c:pt>
              </c:strCache>
            </c:strRef>
          </c:tx>
          <c:spPr>
            <a:ln w="25400">
              <a:solidFill>
                <a:srgbClr val="92D050"/>
              </a:solidFill>
            </a:ln>
          </c:spPr>
          <c:marker>
            <c:symbol val="none"/>
          </c:marker>
          <c:cat>
            <c:strRef>
              <c:f>DATOS!$B$47:$Q$47</c:f>
              <c:strCache>
                <c:ptCount val="6"/>
                <c:pt idx="0">
                  <c:v>JUL-SEP/2013</c:v>
                </c:pt>
                <c:pt idx="1">
                  <c:v>OCT-DIC/2013</c:v>
                </c:pt>
                <c:pt idx="2">
                  <c:v>ENE-MAR 2014</c:v>
                </c:pt>
                <c:pt idx="3">
                  <c:v>ABR-JUN 2014</c:v>
                </c:pt>
                <c:pt idx="4">
                  <c:v>JUL-SEPT  2014</c:v>
                </c:pt>
                <c:pt idx="5">
                  <c:v>OCT-DIC 2014</c:v>
                </c:pt>
              </c:strCache>
            </c:strRef>
          </c:cat>
          <c:val>
            <c:numRef>
              <c:f>DATOS!$B$49:$Q$49</c:f>
              <c:numCache>
                <c:formatCode>0%</c:formatCode>
                <c:ptCount val="6"/>
                <c:pt idx="0">
                  <c:v>1</c:v>
                </c:pt>
                <c:pt idx="1">
                  <c:v>1</c:v>
                </c:pt>
                <c:pt idx="2">
                  <c:v>1</c:v>
                </c:pt>
                <c:pt idx="3">
                  <c:v>1</c:v>
                </c:pt>
                <c:pt idx="4">
                  <c:v>1</c:v>
                </c:pt>
                <c:pt idx="5">
                  <c:v>1</c:v>
                </c:pt>
              </c:numCache>
            </c:numRef>
          </c:val>
        </c:ser>
        <c:ser>
          <c:idx val="2"/>
          <c:order val="2"/>
          <c:tx>
            <c:strRef>
              <c:f>DATOS!$A$50</c:f>
              <c:strCache>
                <c:ptCount val="1"/>
                <c:pt idx="0">
                  <c:v>REGULAR</c:v>
                </c:pt>
              </c:strCache>
            </c:strRef>
          </c:tx>
          <c:spPr>
            <a:ln w="25400">
              <a:solidFill>
                <a:srgbClr val="00B0F0"/>
              </a:solidFill>
            </a:ln>
          </c:spPr>
          <c:marker>
            <c:symbol val="none"/>
          </c:marker>
          <c:cat>
            <c:strRef>
              <c:f>DATOS!$B$47:$Q$47</c:f>
              <c:strCache>
                <c:ptCount val="6"/>
                <c:pt idx="0">
                  <c:v>JUL-SEP/2013</c:v>
                </c:pt>
                <c:pt idx="1">
                  <c:v>OCT-DIC/2013</c:v>
                </c:pt>
                <c:pt idx="2">
                  <c:v>ENE-MAR 2014</c:v>
                </c:pt>
                <c:pt idx="3">
                  <c:v>ABR-JUN 2014</c:v>
                </c:pt>
                <c:pt idx="4">
                  <c:v>JUL-SEPT  2014</c:v>
                </c:pt>
                <c:pt idx="5">
                  <c:v>OCT-DIC 2014</c:v>
                </c:pt>
              </c:strCache>
            </c:strRef>
          </c:cat>
          <c:val>
            <c:numRef>
              <c:f>DATOS!$B$50:$Q$50</c:f>
              <c:numCache>
                <c:formatCode>0%</c:formatCode>
                <c:ptCount val="6"/>
                <c:pt idx="0">
                  <c:v>0.8</c:v>
                </c:pt>
                <c:pt idx="1">
                  <c:v>0.8</c:v>
                </c:pt>
                <c:pt idx="2">
                  <c:v>0.8</c:v>
                </c:pt>
                <c:pt idx="3">
                  <c:v>0.8</c:v>
                </c:pt>
                <c:pt idx="4">
                  <c:v>0.8</c:v>
                </c:pt>
                <c:pt idx="5">
                  <c:v>0.8</c:v>
                </c:pt>
              </c:numCache>
            </c:numRef>
          </c:val>
        </c:ser>
        <c:ser>
          <c:idx val="3"/>
          <c:order val="3"/>
          <c:tx>
            <c:strRef>
              <c:f>DATOS!$A$51</c:f>
              <c:strCache>
                <c:ptCount val="1"/>
                <c:pt idx="0">
                  <c:v>DEFICIENTE</c:v>
                </c:pt>
              </c:strCache>
            </c:strRef>
          </c:tx>
          <c:spPr>
            <a:ln w="25400">
              <a:solidFill>
                <a:srgbClr val="FF0000"/>
              </a:solidFill>
            </a:ln>
          </c:spPr>
          <c:marker>
            <c:symbol val="none"/>
          </c:marker>
          <c:cat>
            <c:strRef>
              <c:f>DATOS!$B$47:$Q$47</c:f>
              <c:strCache>
                <c:ptCount val="6"/>
                <c:pt idx="0">
                  <c:v>JUL-SEP/2013</c:v>
                </c:pt>
                <c:pt idx="1">
                  <c:v>OCT-DIC/2013</c:v>
                </c:pt>
                <c:pt idx="2">
                  <c:v>ENE-MAR 2014</c:v>
                </c:pt>
                <c:pt idx="3">
                  <c:v>ABR-JUN 2014</c:v>
                </c:pt>
                <c:pt idx="4">
                  <c:v>JUL-SEPT  2014</c:v>
                </c:pt>
                <c:pt idx="5">
                  <c:v>OCT-DIC 2014</c:v>
                </c:pt>
              </c:strCache>
            </c:strRef>
          </c:cat>
          <c:val>
            <c:numRef>
              <c:f>DATOS!$B$51:$Q$51</c:f>
              <c:numCache>
                <c:formatCode>0%</c:formatCode>
                <c:ptCount val="6"/>
                <c:pt idx="0">
                  <c:v>0.60000000000000064</c:v>
                </c:pt>
                <c:pt idx="1">
                  <c:v>0.60000000000000064</c:v>
                </c:pt>
                <c:pt idx="2">
                  <c:v>0.60000000000000064</c:v>
                </c:pt>
                <c:pt idx="3">
                  <c:v>0.60000000000000064</c:v>
                </c:pt>
                <c:pt idx="4">
                  <c:v>0.60000000000000064</c:v>
                </c:pt>
                <c:pt idx="5">
                  <c:v>0.60000000000000064</c:v>
                </c:pt>
              </c:numCache>
            </c:numRef>
          </c:val>
        </c:ser>
        <c:marker val="1"/>
        <c:axId val="169066496"/>
        <c:axId val="169068032"/>
      </c:lineChart>
      <c:catAx>
        <c:axId val="169066496"/>
        <c:scaling>
          <c:orientation val="minMax"/>
        </c:scaling>
        <c:axPos val="b"/>
        <c:tickLblPos val="nextTo"/>
        <c:txPr>
          <a:bodyPr/>
          <a:lstStyle/>
          <a:p>
            <a:pPr>
              <a:defRPr lang="es-CO" sz="700" b="1"/>
            </a:pPr>
            <a:endParaRPr lang="es-ES"/>
          </a:p>
        </c:txPr>
        <c:crossAx val="169068032"/>
        <c:crosses val="autoZero"/>
        <c:auto val="1"/>
        <c:lblAlgn val="ctr"/>
        <c:lblOffset val="100"/>
      </c:catAx>
      <c:valAx>
        <c:axId val="169068032"/>
        <c:scaling>
          <c:orientation val="minMax"/>
          <c:max val="1.6"/>
          <c:min val="0.2"/>
        </c:scaling>
        <c:axPos val="l"/>
        <c:numFmt formatCode="0%" sourceLinked="1"/>
        <c:tickLblPos val="nextTo"/>
        <c:txPr>
          <a:bodyPr/>
          <a:lstStyle/>
          <a:p>
            <a:pPr>
              <a:defRPr lang="es-CO" b="1"/>
            </a:pPr>
            <a:endParaRPr lang="es-ES"/>
          </a:p>
        </c:txPr>
        <c:crossAx val="169066496"/>
        <c:crosses val="autoZero"/>
        <c:crossBetween val="between"/>
      </c:valAx>
    </c:plotArea>
    <c:legend>
      <c:legendPos val="r"/>
      <c:layout>
        <c:manualLayout>
          <c:xMode val="edge"/>
          <c:yMode val="edge"/>
          <c:x val="0.77606278828776298"/>
          <c:y val="0.18193235086005169"/>
          <c:w val="0.20015543922793749"/>
          <c:h val="0.75131371838391503"/>
        </c:manualLayout>
      </c:layout>
      <c:txPr>
        <a:bodyPr/>
        <a:lstStyle/>
        <a:p>
          <a:pPr>
            <a:defRPr lang="es-CO" sz="600"/>
          </a:pPr>
          <a:endParaRPr lang="es-ES"/>
        </a:p>
      </c:txPr>
    </c:legend>
    <c:plotVisOnly val="1"/>
    <c:dispBlanksAs val="gap"/>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CO"/>
              <a:t>SALDO</a:t>
            </a:r>
            <a:r>
              <a:rPr lang="es-CO" baseline="0"/>
              <a:t> EN CAPTACIONES</a:t>
            </a:r>
            <a:endParaRPr lang="es-CO"/>
          </a:p>
        </c:rich>
      </c:tx>
    </c:title>
    <c:plotArea>
      <c:layout>
        <c:manualLayout>
          <c:layoutTarget val="inner"/>
          <c:xMode val="edge"/>
          <c:yMode val="edge"/>
          <c:x val="0.13425156132460062"/>
          <c:y val="9.4342610300773413E-2"/>
          <c:w val="0.59908616248535507"/>
          <c:h val="0.82650217762665557"/>
        </c:manualLayout>
      </c:layout>
      <c:lineChart>
        <c:grouping val="standard"/>
        <c:ser>
          <c:idx val="0"/>
          <c:order val="0"/>
          <c:tx>
            <c:strRef>
              <c:f>DATOS!$A$29</c:f>
              <c:strCache>
                <c:ptCount val="1"/>
                <c:pt idx="0">
                  <c:v>SALDO DE CAPTACIONES</c:v>
                </c:pt>
              </c:strCache>
            </c:strRef>
          </c:tx>
          <c:spPr>
            <a:ln w="28575">
              <a:solidFill>
                <a:srgbClr val="000066"/>
              </a:solidFill>
            </a:ln>
          </c:spPr>
          <c:marker>
            <c:spPr>
              <a:solidFill>
                <a:srgbClr val="0000CC"/>
              </a:solidFill>
              <a:ln w="19050">
                <a:solidFill>
                  <a:srgbClr val="000066"/>
                </a:solidFill>
              </a:ln>
            </c:spPr>
          </c:marker>
          <c:dLbls>
            <c:dLbl>
              <c:idx val="0"/>
              <c:layout>
                <c:manualLayout>
                  <c:x val="-6.5074098568673702E-2"/>
                  <c:y val="-8.6073597812162186E-2"/>
                </c:manualLayout>
              </c:layout>
              <c:showVal val="1"/>
            </c:dLbl>
            <c:dLbl>
              <c:idx val="1"/>
              <c:layout>
                <c:manualLayout>
                  <c:x val="-1.7942084666322258E-2"/>
                  <c:y val="-6.0606045657892862E-2"/>
                </c:manualLayout>
              </c:layout>
              <c:showVal val="1"/>
            </c:dLbl>
            <c:dLbl>
              <c:idx val="2"/>
              <c:layout>
                <c:manualLayout>
                  <c:x val="-5.4153313588556073E-2"/>
                  <c:y val="4.5486721385630688E-2"/>
                </c:manualLayout>
              </c:layout>
              <c:showVal val="1"/>
            </c:dLbl>
            <c:dLbl>
              <c:idx val="3"/>
              <c:layout>
                <c:manualLayout>
                  <c:x val="-8.2413822209813456E-2"/>
                  <c:y val="-4.8484935184221506E-2"/>
                </c:manualLayout>
              </c:layout>
              <c:showVal val="1"/>
            </c:dLbl>
            <c:dLbl>
              <c:idx val="4"/>
              <c:layout>
                <c:manualLayout>
                  <c:x val="-2.967541701025243E-2"/>
                  <c:y val="5.6565511070157067E-2"/>
                </c:manualLayout>
              </c:layout>
              <c:showVal val="1"/>
            </c:dLbl>
            <c:dLbl>
              <c:idx val="5"/>
              <c:layout>
                <c:manualLayout>
                  <c:x val="-6.5955842317578006E-2"/>
                  <c:y val="-5.8529790001711733E-2"/>
                </c:manualLayout>
              </c:layout>
              <c:showVal val="1"/>
            </c:dLbl>
            <c:dLbl>
              <c:idx val="13"/>
              <c:layout>
                <c:manualLayout>
                  <c:x val="-1.4882820057683284E-3"/>
                  <c:y val="-4.3362156711517233E-2"/>
                </c:manualLayout>
              </c:layout>
              <c:showVal val="1"/>
            </c:dLbl>
            <c:txPr>
              <a:bodyPr/>
              <a:lstStyle/>
              <a:p>
                <a:pPr>
                  <a:defRPr lang="es-CO" sz="600" b="1"/>
                </a:pPr>
                <a:endParaRPr lang="es-ES"/>
              </a:p>
            </c:txPr>
            <c:showVal val="1"/>
          </c:dLbls>
          <c:cat>
            <c:strRef>
              <c:f>DATOS!$B$28:$Q$28</c:f>
              <c:strCache>
                <c:ptCount val="6"/>
                <c:pt idx="0">
                  <c:v>JUL-SEP/2013</c:v>
                </c:pt>
                <c:pt idx="1">
                  <c:v>OCT-DIC/2013</c:v>
                </c:pt>
                <c:pt idx="2">
                  <c:v>ENE-MAR 2014</c:v>
                </c:pt>
                <c:pt idx="3">
                  <c:v>ABR-JUN 2014</c:v>
                </c:pt>
                <c:pt idx="4">
                  <c:v>JUL-SEPT 2014</c:v>
                </c:pt>
                <c:pt idx="5">
                  <c:v>OCT-DIC 2014</c:v>
                </c:pt>
              </c:strCache>
            </c:strRef>
          </c:cat>
          <c:val>
            <c:numRef>
              <c:f>DATOS!$B$29:$Q$29</c:f>
              <c:numCache>
                <c:formatCode>"$"\ #,##0.00;[Red]\-"$"\ #,##0.00</c:formatCode>
                <c:ptCount val="6"/>
                <c:pt idx="0">
                  <c:v>52452415747.150002</c:v>
                </c:pt>
                <c:pt idx="1">
                  <c:v>54894366594.169998</c:v>
                </c:pt>
                <c:pt idx="2">
                  <c:v>48782645552.890007</c:v>
                </c:pt>
                <c:pt idx="3" formatCode="#,##0.00">
                  <c:v>58178208296.979988</c:v>
                </c:pt>
                <c:pt idx="4" formatCode="#,##0.00">
                  <c:v>61571499711.840012</c:v>
                </c:pt>
                <c:pt idx="5" formatCode="#,##0.00">
                  <c:v>62584985306.020004</c:v>
                </c:pt>
              </c:numCache>
            </c:numRef>
          </c:val>
          <c:smooth val="1"/>
        </c:ser>
        <c:ser>
          <c:idx val="1"/>
          <c:order val="1"/>
          <c:tx>
            <c:strRef>
              <c:f>DATOS!$A$30</c:f>
              <c:strCache>
                <c:ptCount val="1"/>
                <c:pt idx="0">
                  <c:v>EXCELENTE</c:v>
                </c:pt>
              </c:strCache>
            </c:strRef>
          </c:tx>
          <c:spPr>
            <a:ln w="31750">
              <a:solidFill>
                <a:srgbClr val="006600"/>
              </a:solidFill>
            </a:ln>
          </c:spPr>
          <c:marker>
            <c:symbol val="none"/>
          </c:marker>
          <c:cat>
            <c:strRef>
              <c:f>DATOS!$B$28:$Q$28</c:f>
              <c:strCache>
                <c:ptCount val="6"/>
                <c:pt idx="0">
                  <c:v>JUL-SEP/2013</c:v>
                </c:pt>
                <c:pt idx="1">
                  <c:v>OCT-DIC/2013</c:v>
                </c:pt>
                <c:pt idx="2">
                  <c:v>ENE-MAR 2014</c:v>
                </c:pt>
                <c:pt idx="3">
                  <c:v>ABR-JUN 2014</c:v>
                </c:pt>
                <c:pt idx="4">
                  <c:v>JUL-SEPT 2014</c:v>
                </c:pt>
                <c:pt idx="5">
                  <c:v>OCT-DIC 2014</c:v>
                </c:pt>
              </c:strCache>
            </c:strRef>
          </c:cat>
          <c:val>
            <c:numRef>
              <c:f>DATOS!$B$30:$Q$30</c:f>
              <c:numCache>
                <c:formatCode>[$$-240A]\ #,##0</c:formatCode>
                <c:ptCount val="6"/>
                <c:pt idx="0">
                  <c:v>57095994430.000008</c:v>
                </c:pt>
                <c:pt idx="1">
                  <c:v>57691988860</c:v>
                </c:pt>
                <c:pt idx="2">
                  <c:v>58287983289.999992</c:v>
                </c:pt>
                <c:pt idx="3">
                  <c:v>58883977720</c:v>
                </c:pt>
                <c:pt idx="4">
                  <c:v>59479972150</c:v>
                </c:pt>
              </c:numCache>
            </c:numRef>
          </c:val>
        </c:ser>
        <c:ser>
          <c:idx val="2"/>
          <c:order val="2"/>
          <c:tx>
            <c:strRef>
              <c:f>DATOS!$A$31</c:f>
              <c:strCache>
                <c:ptCount val="1"/>
                <c:pt idx="0">
                  <c:v>REGULAR</c:v>
                </c:pt>
              </c:strCache>
            </c:strRef>
          </c:tx>
          <c:spPr>
            <a:ln w="31750">
              <a:solidFill>
                <a:srgbClr val="0000CC"/>
              </a:solidFill>
            </a:ln>
          </c:spPr>
          <c:marker>
            <c:symbol val="none"/>
          </c:marker>
          <c:cat>
            <c:strRef>
              <c:f>DATOS!$B$28:$Q$28</c:f>
              <c:strCache>
                <c:ptCount val="6"/>
                <c:pt idx="0">
                  <c:v>JUL-SEP/2013</c:v>
                </c:pt>
                <c:pt idx="1">
                  <c:v>OCT-DIC/2013</c:v>
                </c:pt>
                <c:pt idx="2">
                  <c:v>ENE-MAR 2014</c:v>
                </c:pt>
                <c:pt idx="3">
                  <c:v>ABR-JUN 2014</c:v>
                </c:pt>
                <c:pt idx="4">
                  <c:v>JUL-SEPT 2014</c:v>
                </c:pt>
                <c:pt idx="5">
                  <c:v>OCT-DIC 2014</c:v>
                </c:pt>
              </c:strCache>
            </c:strRef>
          </c:cat>
          <c:val>
            <c:numRef>
              <c:f>DATOS!$B$31:$Q$31</c:f>
              <c:numCache>
                <c:formatCode>[$$-240A]\ #,##0</c:formatCode>
                <c:ptCount val="6"/>
                <c:pt idx="0">
                  <c:v>48531595265.499992</c:v>
                </c:pt>
                <c:pt idx="1">
                  <c:v>49038190531</c:v>
                </c:pt>
                <c:pt idx="2">
                  <c:v>49544785796.499992</c:v>
                </c:pt>
                <c:pt idx="3">
                  <c:v>50051381061.999992</c:v>
                </c:pt>
                <c:pt idx="4">
                  <c:v>50557976327.5</c:v>
                </c:pt>
              </c:numCache>
            </c:numRef>
          </c:val>
        </c:ser>
        <c:ser>
          <c:idx val="3"/>
          <c:order val="3"/>
          <c:tx>
            <c:strRef>
              <c:f>DATOS!$A$32</c:f>
              <c:strCache>
                <c:ptCount val="1"/>
                <c:pt idx="0">
                  <c:v>DEFICIENTE</c:v>
                </c:pt>
              </c:strCache>
            </c:strRef>
          </c:tx>
          <c:spPr>
            <a:ln w="31750">
              <a:solidFill>
                <a:srgbClr val="FF0000"/>
              </a:solidFill>
            </a:ln>
          </c:spPr>
          <c:marker>
            <c:symbol val="none"/>
          </c:marker>
          <c:cat>
            <c:strRef>
              <c:f>DATOS!$B$28:$Q$28</c:f>
              <c:strCache>
                <c:ptCount val="6"/>
                <c:pt idx="0">
                  <c:v>JUL-SEP/2013</c:v>
                </c:pt>
                <c:pt idx="1">
                  <c:v>OCT-DIC/2013</c:v>
                </c:pt>
                <c:pt idx="2">
                  <c:v>ENE-MAR 2014</c:v>
                </c:pt>
                <c:pt idx="3">
                  <c:v>ABR-JUN 2014</c:v>
                </c:pt>
                <c:pt idx="4">
                  <c:v>JUL-SEPT 2014</c:v>
                </c:pt>
                <c:pt idx="5">
                  <c:v>OCT-DIC 2014</c:v>
                </c:pt>
              </c:strCache>
            </c:strRef>
          </c:cat>
          <c:val>
            <c:numRef>
              <c:f>DATOS!$B$32:$Q$32</c:f>
              <c:numCache>
                <c:formatCode>[$$-240A]\ #,##0</c:formatCode>
                <c:ptCount val="6"/>
                <c:pt idx="0">
                  <c:v>39967196100.999992</c:v>
                </c:pt>
                <c:pt idx="1">
                  <c:v>40384392202</c:v>
                </c:pt>
                <c:pt idx="2">
                  <c:v>40801588302.999992</c:v>
                </c:pt>
                <c:pt idx="3">
                  <c:v>41218784404</c:v>
                </c:pt>
                <c:pt idx="4">
                  <c:v>41635980504.999992</c:v>
                </c:pt>
              </c:numCache>
            </c:numRef>
          </c:val>
        </c:ser>
        <c:marker val="1"/>
        <c:axId val="169291776"/>
        <c:axId val="169293312"/>
      </c:lineChart>
      <c:catAx>
        <c:axId val="169291776"/>
        <c:scaling>
          <c:orientation val="minMax"/>
        </c:scaling>
        <c:axPos val="b"/>
        <c:tickLblPos val="nextTo"/>
        <c:txPr>
          <a:bodyPr/>
          <a:lstStyle/>
          <a:p>
            <a:pPr>
              <a:defRPr lang="es-CO" sz="600" b="1"/>
            </a:pPr>
            <a:endParaRPr lang="es-ES"/>
          </a:p>
        </c:txPr>
        <c:crossAx val="169293312"/>
        <c:crosses val="autoZero"/>
        <c:auto val="1"/>
        <c:lblAlgn val="ctr"/>
        <c:lblOffset val="100"/>
      </c:catAx>
      <c:valAx>
        <c:axId val="169293312"/>
        <c:scaling>
          <c:orientation val="minMax"/>
          <c:max val="90000000000"/>
        </c:scaling>
        <c:axPos val="l"/>
        <c:numFmt formatCode="&quot;$&quot;\ #,##0.00;[Red]\-&quot;$&quot;\ #,##0.00" sourceLinked="1"/>
        <c:tickLblPos val="nextTo"/>
        <c:txPr>
          <a:bodyPr/>
          <a:lstStyle/>
          <a:p>
            <a:pPr>
              <a:defRPr lang="es-CO" sz="600"/>
            </a:pPr>
            <a:endParaRPr lang="es-ES"/>
          </a:p>
        </c:txPr>
        <c:crossAx val="169291776"/>
        <c:crosses val="autoZero"/>
        <c:crossBetween val="between"/>
      </c:valAx>
    </c:plotArea>
    <c:legend>
      <c:legendPos val="r"/>
      <c:layout>
        <c:manualLayout>
          <c:xMode val="edge"/>
          <c:yMode val="edge"/>
          <c:x val="0.79858889096953267"/>
          <c:y val="2.3604907271762218E-3"/>
          <c:w val="0.18509779128342169"/>
          <c:h val="0.96416691015017864"/>
        </c:manualLayout>
      </c:layout>
      <c:txPr>
        <a:bodyPr/>
        <a:lstStyle/>
        <a:p>
          <a:pPr>
            <a:defRPr lang="es-CO" sz="800" b="1"/>
          </a:pPr>
          <a:endParaRPr lang="es-E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600"/>
            </a:pPr>
            <a:r>
              <a:rPr lang="es-CO" sz="1600"/>
              <a:t>JOVENES</a:t>
            </a:r>
            <a:r>
              <a:rPr lang="es-CO" sz="1600" baseline="0"/>
              <a:t> APOYADOS CON CREDITOS EDUCATIVOS</a:t>
            </a:r>
            <a:endParaRPr lang="es-CO" sz="1600"/>
          </a:p>
        </c:rich>
      </c:tx>
    </c:title>
    <c:plotArea>
      <c:layout/>
      <c:barChart>
        <c:barDir val="col"/>
        <c:grouping val="clustered"/>
        <c:ser>
          <c:idx val="0"/>
          <c:order val="0"/>
          <c:tx>
            <c:strRef>
              <c:f>DATOS!$A$28</c:f>
              <c:strCache>
                <c:ptCount val="1"/>
                <c:pt idx="0">
                  <c:v>JOVENES APOYADOS CON CREDITO EDUCATIVO</c:v>
                </c:pt>
              </c:strCache>
            </c:strRef>
          </c:tx>
          <c:spPr>
            <a:solidFill>
              <a:srgbClr val="008000"/>
            </a:solidFill>
            <a:ln w="12700">
              <a:solidFill>
                <a:srgbClr val="000000"/>
              </a:solidFill>
              <a:prstDash val="solid"/>
            </a:ln>
          </c:spPr>
          <c:dLbls>
            <c:showVal val="1"/>
          </c:dLbls>
          <c:cat>
            <c:strRef>
              <c:f>DATOS!$B$27:$AC$27</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DATOS!$B$28:$AC$28</c:f>
              <c:numCache>
                <c:formatCode>#,##0</c:formatCode>
                <c:ptCount val="8"/>
                <c:pt idx="0">
                  <c:v>148</c:v>
                </c:pt>
                <c:pt idx="1">
                  <c:v>846</c:v>
                </c:pt>
                <c:pt idx="2" formatCode="General">
                  <c:v>578</c:v>
                </c:pt>
                <c:pt idx="3">
                  <c:v>0</c:v>
                </c:pt>
                <c:pt idx="4">
                  <c:v>32</c:v>
                </c:pt>
                <c:pt idx="5" formatCode="General">
                  <c:v>477</c:v>
                </c:pt>
                <c:pt idx="6" formatCode="General">
                  <c:v>58</c:v>
                </c:pt>
                <c:pt idx="7" formatCode="0">
                  <c:v>357</c:v>
                </c:pt>
              </c:numCache>
            </c:numRef>
          </c:val>
        </c:ser>
        <c:gapWidth val="75"/>
        <c:overlap val="40"/>
        <c:axId val="164543104"/>
        <c:axId val="164553088"/>
      </c:barChart>
      <c:lineChart>
        <c:grouping val="standard"/>
        <c:ser>
          <c:idx val="1"/>
          <c:order val="1"/>
          <c:tx>
            <c:strRef>
              <c:f>DATOS!$A$29</c:f>
              <c:strCache>
                <c:ptCount val="1"/>
                <c:pt idx="0">
                  <c:v>EXCELENTE</c:v>
                </c:pt>
              </c:strCache>
            </c:strRef>
          </c:tx>
          <c:spPr>
            <a:ln w="25400">
              <a:solidFill>
                <a:srgbClr val="92D050"/>
              </a:solidFill>
              <a:prstDash val="solid"/>
            </a:ln>
          </c:spPr>
          <c:marker>
            <c:symbol val="none"/>
          </c:marker>
          <c:cat>
            <c:strRef>
              <c:f>DATOS!$B$27:$AC$27</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DATOS!$B$29:$AC$29</c:f>
              <c:numCache>
                <c:formatCode>#,##0</c:formatCode>
                <c:ptCount val="8"/>
                <c:pt idx="0">
                  <c:v>500</c:v>
                </c:pt>
                <c:pt idx="1">
                  <c:v>500</c:v>
                </c:pt>
                <c:pt idx="2">
                  <c:v>500</c:v>
                </c:pt>
                <c:pt idx="3">
                  <c:v>500</c:v>
                </c:pt>
                <c:pt idx="4">
                  <c:v>500</c:v>
                </c:pt>
                <c:pt idx="5">
                  <c:v>500</c:v>
                </c:pt>
                <c:pt idx="6">
                  <c:v>500</c:v>
                </c:pt>
                <c:pt idx="7">
                  <c:v>500</c:v>
                </c:pt>
              </c:numCache>
            </c:numRef>
          </c:val>
        </c:ser>
        <c:ser>
          <c:idx val="2"/>
          <c:order val="2"/>
          <c:tx>
            <c:strRef>
              <c:f>DATOS!$A$30</c:f>
              <c:strCache>
                <c:ptCount val="1"/>
                <c:pt idx="0">
                  <c:v>REGULAR</c:v>
                </c:pt>
              </c:strCache>
            </c:strRef>
          </c:tx>
          <c:spPr>
            <a:ln w="25400">
              <a:solidFill>
                <a:srgbClr val="00B0F0"/>
              </a:solidFill>
              <a:prstDash val="solid"/>
            </a:ln>
          </c:spPr>
          <c:marker>
            <c:symbol val="none"/>
          </c:marker>
          <c:cat>
            <c:strRef>
              <c:f>DATOS!$B$27:$AC$27</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DATOS!$B$30:$AC$30</c:f>
              <c:numCache>
                <c:formatCode>#,##0</c:formatCode>
                <c:ptCount val="8"/>
                <c:pt idx="0">
                  <c:v>400</c:v>
                </c:pt>
                <c:pt idx="1">
                  <c:v>400</c:v>
                </c:pt>
                <c:pt idx="2">
                  <c:v>400</c:v>
                </c:pt>
                <c:pt idx="3">
                  <c:v>400</c:v>
                </c:pt>
                <c:pt idx="4">
                  <c:v>400</c:v>
                </c:pt>
                <c:pt idx="5">
                  <c:v>400</c:v>
                </c:pt>
                <c:pt idx="6">
                  <c:v>400</c:v>
                </c:pt>
                <c:pt idx="7">
                  <c:v>400</c:v>
                </c:pt>
              </c:numCache>
            </c:numRef>
          </c:val>
        </c:ser>
        <c:ser>
          <c:idx val="3"/>
          <c:order val="3"/>
          <c:tx>
            <c:strRef>
              <c:f>DATOS!$A$31</c:f>
              <c:strCache>
                <c:ptCount val="1"/>
                <c:pt idx="0">
                  <c:v>DEFICIENTE</c:v>
                </c:pt>
              </c:strCache>
            </c:strRef>
          </c:tx>
          <c:spPr>
            <a:ln w="25400">
              <a:solidFill>
                <a:srgbClr val="DD0806"/>
              </a:solidFill>
              <a:prstDash val="solid"/>
            </a:ln>
          </c:spPr>
          <c:marker>
            <c:symbol val="none"/>
          </c:marker>
          <c:cat>
            <c:strRef>
              <c:f>DATOS!$B$27:$AC$27</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DATOS!$B$31:$AC$31</c:f>
              <c:numCache>
                <c:formatCode>#,##0</c:formatCode>
                <c:ptCount val="8"/>
                <c:pt idx="0">
                  <c:v>300</c:v>
                </c:pt>
                <c:pt idx="1">
                  <c:v>300</c:v>
                </c:pt>
                <c:pt idx="2">
                  <c:v>300</c:v>
                </c:pt>
                <c:pt idx="3">
                  <c:v>300</c:v>
                </c:pt>
                <c:pt idx="4">
                  <c:v>300</c:v>
                </c:pt>
                <c:pt idx="5">
                  <c:v>300</c:v>
                </c:pt>
                <c:pt idx="6">
                  <c:v>300</c:v>
                </c:pt>
                <c:pt idx="7">
                  <c:v>300</c:v>
                </c:pt>
              </c:numCache>
            </c:numRef>
          </c:val>
        </c:ser>
        <c:marker val="1"/>
        <c:axId val="164543104"/>
        <c:axId val="164553088"/>
      </c:lineChart>
      <c:catAx>
        <c:axId val="164543104"/>
        <c:scaling>
          <c:orientation val="minMax"/>
        </c:scaling>
        <c:axPos val="b"/>
        <c:numFmt formatCode="mmm/yy" sourceLinked="1"/>
        <c:majorTickMark val="none"/>
        <c:tickLblPos val="nextTo"/>
        <c:spPr>
          <a:ln w="3175">
            <a:solidFill>
              <a:srgbClr val="808080"/>
            </a:solidFill>
            <a:prstDash val="solid"/>
          </a:ln>
        </c:spPr>
        <c:txPr>
          <a:bodyPr/>
          <a:lstStyle/>
          <a:p>
            <a:pPr>
              <a:defRPr lang="es-CO" sz="700" b="1"/>
            </a:pPr>
            <a:endParaRPr lang="es-ES"/>
          </a:p>
        </c:txPr>
        <c:crossAx val="164553088"/>
        <c:crosses val="autoZero"/>
        <c:auto val="1"/>
        <c:lblAlgn val="ctr"/>
        <c:lblOffset val="100"/>
      </c:catAx>
      <c:valAx>
        <c:axId val="164553088"/>
        <c:scaling>
          <c:orientation val="minMax"/>
        </c:scaling>
        <c:axPos val="l"/>
        <c:majorGridlines/>
        <c:numFmt formatCode="#,##0" sourceLinked="1"/>
        <c:majorTickMark val="none"/>
        <c:tickLblPos val="nextTo"/>
        <c:spPr>
          <a:ln w="3175">
            <a:solidFill>
              <a:srgbClr val="808080"/>
            </a:solidFill>
            <a:prstDash val="solid"/>
          </a:ln>
        </c:spPr>
        <c:txPr>
          <a:bodyPr/>
          <a:lstStyle/>
          <a:p>
            <a:pPr>
              <a:defRPr lang="es-CO"/>
            </a:pPr>
            <a:endParaRPr lang="es-ES"/>
          </a:p>
        </c:txPr>
        <c:crossAx val="164543104"/>
        <c:crosses val="autoZero"/>
        <c:crossBetween val="between"/>
      </c:valAx>
      <c:spPr>
        <a:solidFill>
          <a:srgbClr val="FFFFFF"/>
        </a:solidFill>
        <a:ln w="25400">
          <a:noFill/>
        </a:ln>
      </c:spPr>
    </c:plotArea>
    <c:legend>
      <c:legendPos val="r"/>
      <c:spPr>
        <a:noFill/>
        <a:ln w="25400">
          <a:noFill/>
        </a:ln>
      </c:spPr>
      <c:txPr>
        <a:bodyPr/>
        <a:lstStyle/>
        <a:p>
          <a:pPr>
            <a:defRPr lang="es-CO" sz="800" b="1"/>
          </a:pPr>
          <a:endParaRPr lang="es-ES"/>
        </a:p>
      </c:txPr>
    </c:legend>
    <c:plotVisOnly val="1"/>
    <c:dispBlanksAs val="gap"/>
  </c:chart>
  <c:spPr>
    <a:solidFill>
      <a:srgbClr val="FFFFFF"/>
    </a:solidFill>
    <a:ln w="12700">
      <a:solidFill>
        <a:srgbClr val="000000"/>
      </a:solidFill>
      <a:prstDash val="solid"/>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CO"/>
              <a:t>%EFICACIA DEL S.G.C.</a:t>
            </a:r>
          </a:p>
        </c:rich>
      </c:tx>
    </c:title>
    <c:plotArea>
      <c:layout>
        <c:manualLayout>
          <c:layoutTarget val="inner"/>
          <c:xMode val="edge"/>
          <c:yMode val="edge"/>
          <c:x val="0.10559027560145738"/>
          <c:y val="7.7381177284392699E-2"/>
          <c:w val="0.64417263575825368"/>
          <c:h val="0.66666860429630903"/>
        </c:manualLayout>
      </c:layout>
      <c:barChart>
        <c:barDir val="col"/>
        <c:grouping val="clustered"/>
        <c:ser>
          <c:idx val="0"/>
          <c:order val="0"/>
          <c:tx>
            <c:strRef>
              <c:f>'Tablero de Mando'!$H$233</c:f>
              <c:strCache>
                <c:ptCount val="1"/>
                <c:pt idx="0">
                  <c:v>% EFICACIA DEL S.G.C.</c:v>
                </c:pt>
              </c:strCache>
            </c:strRef>
          </c:tx>
          <c:spPr>
            <a:solidFill>
              <a:srgbClr val="009900"/>
            </a:solidFill>
            <a:ln w="12700">
              <a:solidFill>
                <a:srgbClr val="000000"/>
              </a:solidFill>
              <a:prstDash val="solid"/>
            </a:ln>
          </c:spPr>
          <c:dLbls>
            <c:dLbl>
              <c:idx val="1"/>
              <c:layout>
                <c:manualLayout>
                  <c:x val="5.1529246314976317E-3"/>
                  <c:y val="0.65178760866469621"/>
                </c:manualLayout>
              </c:layout>
              <c:dLblPos val="outEnd"/>
              <c:showVal val="1"/>
            </c:dLbl>
            <c:dLbl>
              <c:idx val="2"/>
              <c:layout>
                <c:manualLayout>
                  <c:x val="1.0120180798312416E-3"/>
                  <c:y val="0.66369240516998662"/>
                </c:manualLayout>
              </c:layout>
              <c:dLblPos val="outEnd"/>
              <c:showVal val="1"/>
            </c:dLbl>
            <c:dLbl>
              <c:idx val="3"/>
              <c:layout>
                <c:manualLayout>
                  <c:x val="-2.9394942248139506E-2"/>
                  <c:y val="2.6405118298822483E-3"/>
                </c:manualLayout>
              </c:layout>
              <c:dLblPos val="outEnd"/>
              <c:showVal val="1"/>
            </c:dLbl>
            <c:dLbl>
              <c:idx val="4"/>
              <c:layout>
                <c:manualLayout>
                  <c:x val="-3.4781275372626567E-4"/>
                  <c:y val="-2.4744282814763052E-2"/>
                </c:manualLayout>
              </c:layout>
              <c:numFmt formatCode="0.0%" sourceLinked="0"/>
              <c:spPr>
                <a:noFill/>
                <a:ln w="25400">
                  <a:noFill/>
                </a:ln>
              </c:spPr>
              <c:txPr>
                <a:bodyPr/>
                <a:lstStyle/>
                <a:p>
                  <a:pPr>
                    <a:defRPr sz="875" b="1" i="0" u="none" strike="noStrike" baseline="0">
                      <a:solidFill>
                        <a:srgbClr val="000000"/>
                      </a:solidFill>
                      <a:latin typeface="Arial"/>
                      <a:ea typeface="Arial"/>
                      <a:cs typeface="Arial"/>
                    </a:defRPr>
                  </a:pPr>
                  <a:endParaRPr lang="es-ES"/>
                </a:p>
              </c:txPr>
              <c:dLblPos val="outEnd"/>
              <c:showVal val="1"/>
            </c:dLbl>
            <c:dLbl>
              <c:idx val="5"/>
              <c:layout>
                <c:manualLayout>
                  <c:x val="2.5171309356389212E-3"/>
                  <c:y val="-3.9341328727438715E-2"/>
                </c:manualLayout>
              </c:layout>
              <c:dLblPos val="outEnd"/>
              <c:showVal val="1"/>
            </c:dLbl>
            <c:dLbl>
              <c:idx val="6"/>
              <c:layout>
                <c:manualLayout>
                  <c:x val="-1.3292251512039305E-2"/>
                  <c:y val="-2.4676929428765364E-2"/>
                </c:manualLayout>
              </c:layout>
              <c:dLblPos val="outEnd"/>
              <c:showVal val="1"/>
            </c:dLbl>
            <c:dLbl>
              <c:idx val="7"/>
              <c:layout>
                <c:manualLayout>
                  <c:xMode val="edge"/>
                  <c:yMode val="edge"/>
                  <c:x val="0.95031248041310901"/>
                  <c:y val="0.12202416417923538"/>
                </c:manualLayout>
              </c:layout>
              <c:dLblPos val="outEnd"/>
              <c:showVal val="1"/>
            </c:dLbl>
            <c:dLbl>
              <c:idx val="8"/>
              <c:layout>
                <c:manualLayout>
                  <c:xMode val="edge"/>
                  <c:yMode val="edge"/>
                  <c:x val="0.67909039994662201"/>
                  <c:y val="1.4880995631614003E-2"/>
                </c:manualLayout>
              </c:layout>
              <c:dLblPos val="outEnd"/>
              <c:showVal val="1"/>
            </c:dLbl>
            <c:dLbl>
              <c:idx val="9"/>
              <c:layout>
                <c:manualLayout>
                  <c:xMode val="edge"/>
                  <c:yMode val="edge"/>
                  <c:x val="0.68116079750743497"/>
                  <c:y val="1.4880995631614003E-2"/>
                </c:manualLayout>
              </c:layout>
              <c:dLblPos val="outEnd"/>
              <c:showVal val="1"/>
            </c:dLbl>
            <c:dLbl>
              <c:idx val="10"/>
              <c:layout>
                <c:manualLayout>
                  <c:xMode val="edge"/>
                  <c:yMode val="edge"/>
                  <c:x val="0.76190630237914003"/>
                  <c:y val="1.4880995631614003E-2"/>
                </c:manualLayout>
              </c:layout>
              <c:dLblPos val="outEnd"/>
              <c:showVal val="1"/>
            </c:dLbl>
            <c:dLbl>
              <c:idx val="11"/>
              <c:layout>
                <c:manualLayout>
                  <c:xMode val="edge"/>
                  <c:yMode val="edge"/>
                  <c:x val="0.86335578285896797"/>
                  <c:y val="1.4880995631614003E-2"/>
                </c:manualLayout>
              </c:layout>
              <c:dLblPos val="outEnd"/>
              <c:showVal val="1"/>
            </c:dLbl>
            <c:dLbl>
              <c:idx val="12"/>
              <c:layout>
                <c:manualLayout>
                  <c:xMode val="edge"/>
                  <c:yMode val="edge"/>
                  <c:x val="0.34782679021656504"/>
                  <c:y val="0.4702394619590034"/>
                </c:manualLayout>
              </c:layout>
              <c:dLblPos val="outEnd"/>
              <c:showVal val="1"/>
            </c:dLbl>
            <c:dLbl>
              <c:idx val="13"/>
              <c:layout>
                <c:manualLayout>
                  <c:xMode val="edge"/>
                  <c:yMode val="edge"/>
                  <c:x val="0.401657126797697"/>
                  <c:y val="0.4702394619590034"/>
                </c:manualLayout>
              </c:layout>
              <c:dLblPos val="outEnd"/>
              <c:showVal val="1"/>
            </c:dLbl>
            <c:dLbl>
              <c:idx val="14"/>
              <c:layout>
                <c:manualLayout>
                  <c:xMode val="edge"/>
                  <c:yMode val="edge"/>
                  <c:x val="0.36853076582469363"/>
                  <c:y val="0.53571584273810569"/>
                </c:manualLayout>
              </c:layout>
              <c:dLblPos val="outEnd"/>
              <c:showVal val="1"/>
            </c:dLbl>
            <c:dLbl>
              <c:idx val="15"/>
              <c:layout>
                <c:manualLayout>
                  <c:xMode val="edge"/>
                  <c:yMode val="edge"/>
                  <c:x val="0.45548746337883433"/>
                  <c:y val="0.19047674408465887"/>
                </c:manualLayout>
              </c:layout>
              <c:dLblPos val="outEnd"/>
              <c:showVal val="1"/>
            </c:dLbl>
            <c:dLbl>
              <c:idx val="16"/>
              <c:layout>
                <c:manualLayout>
                  <c:xMode val="edge"/>
                  <c:yMode val="edge"/>
                  <c:x val="0.43271309020989251"/>
                  <c:y val="0.25595312486375993"/>
                </c:manualLayout>
              </c:layout>
              <c:dLblPos val="outEnd"/>
              <c:showVal val="1"/>
            </c:dLbl>
            <c:dLbl>
              <c:idx val="17"/>
              <c:layout>
                <c:manualLayout>
                  <c:xMode val="edge"/>
                  <c:yMode val="edge"/>
                  <c:x val="0.48654342679102475"/>
                  <c:y val="0.25297692573743952"/>
                </c:manualLayout>
              </c:layout>
              <c:dLblPos val="outEnd"/>
              <c:showVal val="1"/>
            </c:dLbl>
            <c:dLbl>
              <c:idx val="18"/>
              <c:layout>
                <c:manualLayout>
                  <c:xMode val="edge"/>
                  <c:yMode val="edge"/>
                  <c:x val="0.51138819752078002"/>
                  <c:y val="0.193452943210982"/>
                </c:manualLayout>
              </c:layout>
              <c:dLblPos val="outEnd"/>
              <c:showVal val="1"/>
            </c:dLbl>
            <c:dLbl>
              <c:idx val="19"/>
              <c:layout>
                <c:manualLayout>
                  <c:xMode val="edge"/>
                  <c:yMode val="edge"/>
                  <c:x val="0.53830336581134175"/>
                  <c:y val="0.23809593010582519"/>
                </c:manualLayout>
              </c:layout>
              <c:dLblPos val="outEnd"/>
              <c:showVal val="1"/>
            </c:dLbl>
            <c:numFmt formatCode="0%" sourceLinked="0"/>
            <c:spPr>
              <a:noFill/>
              <a:ln w="25400">
                <a:noFill/>
              </a:ln>
            </c:spPr>
            <c:txPr>
              <a:bodyPr/>
              <a:lstStyle/>
              <a:p>
                <a:pPr>
                  <a:defRPr sz="875" b="1" i="0" u="none" strike="noStrike" baseline="0">
                    <a:solidFill>
                      <a:srgbClr val="000000"/>
                    </a:solidFill>
                    <a:latin typeface="Arial"/>
                    <a:ea typeface="Arial"/>
                    <a:cs typeface="Arial"/>
                  </a:defRPr>
                </a:pPr>
                <a:endParaRPr lang="es-ES"/>
              </a:p>
            </c:txPr>
            <c:showVal val="1"/>
          </c:dLbls>
          <c:cat>
            <c:strRef>
              <c:f>'Tablero de Mando'!$I$231:$O$231</c:f>
              <c:strCache>
                <c:ptCount val="7"/>
                <c:pt idx="3">
                  <c:v>ENE-MAR/2014</c:v>
                </c:pt>
                <c:pt idx="4">
                  <c:v>ABR-JUN/2014</c:v>
                </c:pt>
                <c:pt idx="5">
                  <c:v>JUL-SEP/2014</c:v>
                </c:pt>
                <c:pt idx="6">
                  <c:v>OCT-DIC/2014</c:v>
                </c:pt>
              </c:strCache>
            </c:strRef>
          </c:cat>
          <c:val>
            <c:numRef>
              <c:f>'Tablero de Mando'!$I$233:$O$233</c:f>
              <c:numCache>
                <c:formatCode>General</c:formatCode>
                <c:ptCount val="7"/>
                <c:pt idx="3" formatCode="0%">
                  <c:v>0.93929712460063897</c:v>
                </c:pt>
                <c:pt idx="4" formatCode="0%">
                  <c:v>0.79552715654952333</c:v>
                </c:pt>
                <c:pt idx="5" formatCode="0%">
                  <c:v>0.79552715654952333</c:v>
                </c:pt>
                <c:pt idx="6" formatCode="0%">
                  <c:v>0.79552715654952333</c:v>
                </c:pt>
              </c:numCache>
            </c:numRef>
          </c:val>
        </c:ser>
        <c:gapWidth val="40"/>
        <c:axId val="169386752"/>
        <c:axId val="169388288"/>
      </c:barChart>
      <c:lineChart>
        <c:grouping val="standard"/>
        <c:ser>
          <c:idx val="1"/>
          <c:order val="1"/>
          <c:tx>
            <c:strRef>
              <c:f>'Tablero de Mando'!$H$235</c:f>
              <c:strCache>
                <c:ptCount val="1"/>
                <c:pt idx="0">
                  <c:v>EXCELENTE (%)</c:v>
                </c:pt>
              </c:strCache>
            </c:strRef>
          </c:tx>
          <c:spPr>
            <a:ln w="25400">
              <a:solidFill>
                <a:srgbClr val="006411"/>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Mando'!$I$235:$O$235</c:f>
              <c:numCache>
                <c:formatCode>General</c:formatCode>
                <c:ptCount val="7"/>
                <c:pt idx="3" formatCode="0%">
                  <c:v>1</c:v>
                </c:pt>
                <c:pt idx="4" formatCode="0%">
                  <c:v>1</c:v>
                </c:pt>
                <c:pt idx="5" formatCode="0%">
                  <c:v>1</c:v>
                </c:pt>
                <c:pt idx="6" formatCode="0%">
                  <c:v>1</c:v>
                </c:pt>
              </c:numCache>
            </c:numRef>
          </c:val>
        </c:ser>
        <c:ser>
          <c:idx val="2"/>
          <c:order val="2"/>
          <c:tx>
            <c:strRef>
              <c:f>'Tablero de Mando'!$H$236</c:f>
              <c:strCache>
                <c:ptCount val="1"/>
                <c:pt idx="0">
                  <c:v>REGULAR (%)</c:v>
                </c:pt>
              </c:strCache>
            </c:strRef>
          </c:tx>
          <c:spPr>
            <a:ln w="25400">
              <a:solidFill>
                <a:srgbClr val="00CCFF"/>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Mando'!$I$236:$O$236</c:f>
              <c:numCache>
                <c:formatCode>General</c:formatCode>
                <c:ptCount val="7"/>
                <c:pt idx="3" formatCode="0%">
                  <c:v>0.8</c:v>
                </c:pt>
                <c:pt idx="4" formatCode="0%">
                  <c:v>0.8</c:v>
                </c:pt>
                <c:pt idx="5" formatCode="0%">
                  <c:v>0.8</c:v>
                </c:pt>
                <c:pt idx="6" formatCode="0%">
                  <c:v>0.8</c:v>
                </c:pt>
              </c:numCache>
            </c:numRef>
          </c:val>
        </c:ser>
        <c:ser>
          <c:idx val="3"/>
          <c:order val="3"/>
          <c:tx>
            <c:strRef>
              <c:f>'Tablero de Mando'!$H$237</c:f>
              <c:strCache>
                <c:ptCount val="1"/>
                <c:pt idx="0">
                  <c:v>DEFICIENTE (%)</c:v>
                </c:pt>
              </c:strCache>
            </c:strRef>
          </c:tx>
          <c:spPr>
            <a:ln w="25400">
              <a:solidFill>
                <a:srgbClr val="DD0806"/>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Mando'!$I$237:$O$237</c:f>
              <c:numCache>
                <c:formatCode>General</c:formatCode>
                <c:ptCount val="7"/>
                <c:pt idx="3" formatCode="0%">
                  <c:v>0.60000000000000064</c:v>
                </c:pt>
                <c:pt idx="4" formatCode="0%">
                  <c:v>0.60000000000000064</c:v>
                </c:pt>
                <c:pt idx="5" formatCode="0%">
                  <c:v>0.60000000000000064</c:v>
                </c:pt>
                <c:pt idx="6" formatCode="0%">
                  <c:v>0.60000000000000064</c:v>
                </c:pt>
              </c:numCache>
            </c:numRef>
          </c:val>
        </c:ser>
        <c:marker val="1"/>
        <c:axId val="169386752"/>
        <c:axId val="169388288"/>
      </c:lineChart>
      <c:catAx>
        <c:axId val="169386752"/>
        <c:scaling>
          <c:orientation val="minMax"/>
        </c:scaling>
        <c:axPos val="b"/>
        <c:numFmt formatCode="General" sourceLinked="1"/>
        <c:tickLblPos val="nextTo"/>
        <c:spPr>
          <a:ln w="3175">
            <a:solidFill>
              <a:srgbClr val="000000"/>
            </a:solidFill>
            <a:prstDash val="solid"/>
          </a:ln>
        </c:spPr>
        <c:txPr>
          <a:bodyPr rot="-5400000" vert="horz"/>
          <a:lstStyle/>
          <a:p>
            <a:pPr>
              <a:defRPr sz="1000" b="1" i="0" u="none" strike="noStrike" baseline="0">
                <a:solidFill>
                  <a:srgbClr val="000000"/>
                </a:solidFill>
                <a:latin typeface="Arial"/>
                <a:ea typeface="Arial"/>
                <a:cs typeface="Arial"/>
              </a:defRPr>
            </a:pPr>
            <a:endParaRPr lang="es-ES"/>
          </a:p>
        </c:txPr>
        <c:crossAx val="169388288"/>
        <c:crosses val="autoZero"/>
        <c:auto val="1"/>
        <c:lblAlgn val="ctr"/>
        <c:lblOffset val="100"/>
        <c:tickLblSkip val="1"/>
        <c:tickMarkSkip val="1"/>
      </c:catAx>
      <c:valAx>
        <c:axId val="169388288"/>
        <c:scaling>
          <c:orientation val="minMax"/>
          <c:max val="1.4"/>
          <c:min val="0"/>
        </c:scaling>
        <c:axPos val="l"/>
        <c:numFmt formatCode="0%" sourceLinked="0"/>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69386752"/>
        <c:crosses val="autoZero"/>
        <c:crossBetween val="between"/>
        <c:minorUnit val="0.1"/>
      </c:valAx>
      <c:spPr>
        <a:noFill/>
        <a:ln w="25400">
          <a:noFill/>
        </a:ln>
      </c:spPr>
    </c:plotArea>
    <c:legend>
      <c:legendPos val="r"/>
      <c:layout>
        <c:manualLayout>
          <c:xMode val="edge"/>
          <c:yMode val="edge"/>
          <c:x val="0.76256527729424262"/>
          <c:y val="0.15859250261161756"/>
          <c:w val="0.1990957474389079"/>
          <c:h val="0.62410551095435163"/>
        </c:manualLayout>
      </c:layout>
      <c:spPr>
        <a:solidFill>
          <a:srgbClr val="FFFFFF"/>
        </a:solidFill>
        <a:ln w="25400">
          <a:noFill/>
        </a:ln>
      </c:spPr>
      <c:txPr>
        <a:bodyPr/>
        <a:lstStyle/>
        <a:p>
          <a:pPr>
            <a:defRPr sz="67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675" b="0" i="0" u="none" strike="noStrike" baseline="0">
          <a:solidFill>
            <a:srgbClr val="000000"/>
          </a:solidFill>
          <a:latin typeface="Arial"/>
          <a:ea typeface="Arial"/>
          <a:cs typeface="Arial"/>
        </a:defRPr>
      </a:pPr>
      <a:endParaRPr lang="es-ES"/>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CO"/>
              <a:t>% EFICIENCIA DEL S.G.C. </a:t>
            </a:r>
          </a:p>
        </c:rich>
      </c:tx>
    </c:title>
    <c:plotArea>
      <c:layout>
        <c:manualLayout>
          <c:layoutTarget val="inner"/>
          <c:xMode val="edge"/>
          <c:yMode val="edge"/>
          <c:x val="9.1093117408906479E-2"/>
          <c:y val="7.3170840633992457E-2"/>
          <c:w val="0.66765339474075169"/>
          <c:h val="0.67073270581159805"/>
        </c:manualLayout>
      </c:layout>
      <c:barChart>
        <c:barDir val="col"/>
        <c:grouping val="clustered"/>
        <c:ser>
          <c:idx val="0"/>
          <c:order val="0"/>
          <c:tx>
            <c:strRef>
              <c:f>'Tablero de Mando'!$H$240</c:f>
              <c:strCache>
                <c:ptCount val="1"/>
                <c:pt idx="0">
                  <c:v>% EFICIENCIA DEL S.G.C. </c:v>
                </c:pt>
              </c:strCache>
            </c:strRef>
          </c:tx>
          <c:spPr>
            <a:solidFill>
              <a:srgbClr val="009900"/>
            </a:solidFill>
            <a:ln w="12700">
              <a:solidFill>
                <a:srgbClr val="000000"/>
              </a:solidFill>
              <a:prstDash val="solid"/>
            </a:ln>
          </c:spPr>
          <c:dLbls>
            <c:dLbl>
              <c:idx val="1"/>
              <c:layout>
                <c:manualLayout>
                  <c:x val="-1.2038394714057401E-3"/>
                  <c:y val="0.64939121062668836"/>
                </c:manualLayout>
              </c:layout>
              <c:dLblPos val="outEnd"/>
              <c:showVal val="1"/>
            </c:dLbl>
            <c:dLbl>
              <c:idx val="2"/>
              <c:layout>
                <c:manualLayout>
                  <c:x val="-6.1200878377020455E-3"/>
                  <c:y val="0.66158635073234495"/>
                </c:manualLayout>
              </c:layout>
              <c:dLblPos val="outEnd"/>
              <c:showVal val="1"/>
            </c:dLbl>
            <c:dLbl>
              <c:idx val="3"/>
              <c:layout>
                <c:manualLayout>
                  <c:x val="-2.4498626233325788E-2"/>
                  <c:y val="-1.2691791537605301E-2"/>
                </c:manualLayout>
              </c:layout>
              <c:dLblPos val="outEnd"/>
              <c:showVal val="1"/>
            </c:dLbl>
            <c:dLbl>
              <c:idx val="4"/>
              <c:layout>
                <c:manualLayout>
                  <c:x val="-3.7965837980648274E-3"/>
                  <c:y val="-2.5431488760811752E-2"/>
                </c:manualLayout>
              </c:layout>
              <c:dLblPos val="outEnd"/>
              <c:showVal val="1"/>
            </c:dLbl>
            <c:dLbl>
              <c:idx val="5"/>
              <c:layout>
                <c:manualLayout>
                  <c:x val="4.0978885736448895E-3"/>
                  <c:y val="-1.9307982843607921E-2"/>
                </c:manualLayout>
              </c:layout>
              <c:dLblPos val="outEnd"/>
              <c:showVal val="1"/>
            </c:dLbl>
            <c:dLbl>
              <c:idx val="6"/>
              <c:layout>
                <c:manualLayout>
                  <c:x val="1.2060739371141404E-3"/>
                  <c:y val="-4.2681966583445322E-2"/>
                </c:manualLayout>
              </c:layout>
              <c:dLblPos val="outEnd"/>
              <c:showVal val="1"/>
            </c:dLbl>
            <c:dLbl>
              <c:idx val="7"/>
              <c:layout>
                <c:manualLayout>
                  <c:xMode val="edge"/>
                  <c:yMode val="edge"/>
                  <c:x val="0.92914979757085303"/>
                  <c:y val="0.12500018608307001"/>
                </c:manualLayout>
              </c:layout>
              <c:dLblPos val="outEnd"/>
              <c:showVal val="1"/>
            </c:dLbl>
            <c:dLbl>
              <c:idx val="8"/>
              <c:layout>
                <c:manualLayout>
                  <c:xMode val="edge"/>
                  <c:yMode val="edge"/>
                  <c:x val="0.66396761133603432"/>
                  <c:y val="1.5243925132081807E-2"/>
                </c:manualLayout>
              </c:layout>
              <c:dLblPos val="outEnd"/>
              <c:showVal val="1"/>
            </c:dLbl>
            <c:dLbl>
              <c:idx val="9"/>
              <c:layout>
                <c:manualLayout>
                  <c:xMode val="edge"/>
                  <c:yMode val="edge"/>
                  <c:x val="0.66599190283401266"/>
                  <c:y val="1.5243925132081807E-2"/>
                </c:manualLayout>
              </c:layout>
              <c:dLblPos val="outEnd"/>
              <c:showVal val="1"/>
            </c:dLbl>
            <c:dLbl>
              <c:idx val="10"/>
              <c:layout>
                <c:manualLayout>
                  <c:xMode val="edge"/>
                  <c:yMode val="edge"/>
                  <c:x val="0.74493927125506165"/>
                  <c:y val="1.5243925132081807E-2"/>
                </c:manualLayout>
              </c:layout>
              <c:dLblPos val="outEnd"/>
              <c:showVal val="1"/>
            </c:dLbl>
            <c:dLbl>
              <c:idx val="11"/>
              <c:layout>
                <c:manualLayout>
                  <c:xMode val="edge"/>
                  <c:yMode val="edge"/>
                  <c:x val="0.84412955465587525"/>
                  <c:y val="1.5243925132081807E-2"/>
                </c:manualLayout>
              </c:layout>
              <c:dLblPos val="outEnd"/>
              <c:showVal val="1"/>
            </c:dLbl>
            <c:dLbl>
              <c:idx val="12"/>
              <c:layout>
                <c:manualLayout>
                  <c:xMode val="edge"/>
                  <c:yMode val="edge"/>
                  <c:x val="0.34008097165992168"/>
                  <c:y val="0.48170803417378399"/>
                </c:manualLayout>
              </c:layout>
              <c:dLblPos val="outEnd"/>
              <c:showVal val="1"/>
            </c:dLbl>
            <c:dLbl>
              <c:idx val="13"/>
              <c:layout>
                <c:manualLayout>
                  <c:xMode val="edge"/>
                  <c:yMode val="edge"/>
                  <c:x val="0.39271255060728738"/>
                  <c:y val="0.48170803417378399"/>
                </c:manualLayout>
              </c:layout>
              <c:dLblPos val="outEnd"/>
              <c:showVal val="1"/>
            </c:dLbl>
            <c:dLbl>
              <c:idx val="14"/>
              <c:layout>
                <c:manualLayout>
                  <c:xMode val="edge"/>
                  <c:yMode val="edge"/>
                  <c:x val="0.36032388663967868"/>
                  <c:y val="0.54878130475494258"/>
                </c:manualLayout>
              </c:layout>
              <c:dLblPos val="outEnd"/>
              <c:showVal val="1"/>
            </c:dLbl>
            <c:dLbl>
              <c:idx val="15"/>
              <c:layout>
                <c:manualLayout>
                  <c:xMode val="edge"/>
                  <c:yMode val="edge"/>
                  <c:x val="0.44534412955465752"/>
                  <c:y val="0.19512224169064687"/>
                </c:manualLayout>
              </c:layout>
              <c:dLblPos val="outEnd"/>
              <c:showVal val="1"/>
            </c:dLbl>
            <c:dLbl>
              <c:idx val="16"/>
              <c:layout>
                <c:manualLayout>
                  <c:xMode val="edge"/>
                  <c:yMode val="edge"/>
                  <c:x val="0.42307692307692452"/>
                  <c:y val="0.26219551227180599"/>
                </c:manualLayout>
              </c:layout>
              <c:dLblPos val="outEnd"/>
              <c:showVal val="1"/>
            </c:dLbl>
            <c:dLbl>
              <c:idx val="17"/>
              <c:layout>
                <c:manualLayout>
                  <c:xMode val="edge"/>
                  <c:yMode val="edge"/>
                  <c:x val="0.47570850202429132"/>
                  <c:y val="0.25914672724539001"/>
                </c:manualLayout>
              </c:layout>
              <c:dLblPos val="outEnd"/>
              <c:showVal val="1"/>
            </c:dLbl>
            <c:dLbl>
              <c:idx val="18"/>
              <c:layout>
                <c:manualLayout>
                  <c:xMode val="edge"/>
                  <c:yMode val="edge"/>
                  <c:x val="0.5"/>
                  <c:y val="0.19817102671706288"/>
                </c:manualLayout>
              </c:layout>
              <c:dLblPos val="outEnd"/>
              <c:showVal val="1"/>
            </c:dLbl>
            <c:dLbl>
              <c:idx val="19"/>
              <c:layout>
                <c:manualLayout>
                  <c:xMode val="edge"/>
                  <c:yMode val="edge"/>
                  <c:x val="0.52631578947368396"/>
                  <c:y val="0.24390280211330861"/>
                </c:manualLayout>
              </c:layout>
              <c:dLblPos val="outEnd"/>
              <c:showVal val="1"/>
            </c:dLbl>
            <c:numFmt formatCode="0%" sourceLinked="0"/>
            <c:spPr>
              <a:noFill/>
              <a:ln w="25400">
                <a:noFill/>
              </a:ln>
            </c:spPr>
            <c:txPr>
              <a:bodyPr/>
              <a:lstStyle/>
              <a:p>
                <a:pPr>
                  <a:defRPr sz="875" b="1" i="0" u="none" strike="noStrike" baseline="0">
                    <a:solidFill>
                      <a:srgbClr val="000000"/>
                    </a:solidFill>
                    <a:latin typeface="Arial"/>
                    <a:ea typeface="Arial"/>
                    <a:cs typeface="Arial"/>
                  </a:defRPr>
                </a:pPr>
                <a:endParaRPr lang="es-ES"/>
              </a:p>
            </c:txPr>
            <c:showVal val="1"/>
          </c:dLbls>
          <c:cat>
            <c:strRef>
              <c:f>'Tablero de Mando'!$I$231:$O$231</c:f>
              <c:strCache>
                <c:ptCount val="7"/>
                <c:pt idx="3">
                  <c:v>ENE-MAR/2014</c:v>
                </c:pt>
                <c:pt idx="4">
                  <c:v>ABR-JUN/2014</c:v>
                </c:pt>
                <c:pt idx="5">
                  <c:v>JUL-SEP/2014</c:v>
                </c:pt>
                <c:pt idx="6">
                  <c:v>OCT-DIC/2014</c:v>
                </c:pt>
              </c:strCache>
            </c:strRef>
          </c:cat>
          <c:val>
            <c:numRef>
              <c:f>'Tablero de Mando'!$I$240:$O$240</c:f>
              <c:numCache>
                <c:formatCode>General</c:formatCode>
                <c:ptCount val="7"/>
                <c:pt idx="3" formatCode="0%">
                  <c:v>0.88985507246377182</c:v>
                </c:pt>
                <c:pt idx="4" formatCode="0%">
                  <c:v>0.98260869565217668</c:v>
                </c:pt>
                <c:pt idx="5" formatCode="0%">
                  <c:v>0.98840579710144849</c:v>
                </c:pt>
                <c:pt idx="6" formatCode="0%">
                  <c:v>0.98840579710144849</c:v>
                </c:pt>
              </c:numCache>
            </c:numRef>
          </c:val>
        </c:ser>
        <c:gapWidth val="40"/>
        <c:axId val="169211008"/>
        <c:axId val="169212544"/>
      </c:barChart>
      <c:lineChart>
        <c:grouping val="standard"/>
        <c:ser>
          <c:idx val="1"/>
          <c:order val="1"/>
          <c:tx>
            <c:strRef>
              <c:f>'Tablero de Mando'!$H$242</c:f>
              <c:strCache>
                <c:ptCount val="1"/>
                <c:pt idx="0">
                  <c:v>EXCELENTE (%)</c:v>
                </c:pt>
              </c:strCache>
            </c:strRef>
          </c:tx>
          <c:spPr>
            <a:ln w="25400">
              <a:solidFill>
                <a:srgbClr val="006411"/>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Mando'!$I$242:$O$242</c:f>
              <c:numCache>
                <c:formatCode>General</c:formatCode>
                <c:ptCount val="7"/>
                <c:pt idx="3" formatCode="0%">
                  <c:v>1</c:v>
                </c:pt>
                <c:pt idx="4" formatCode="0%">
                  <c:v>1</c:v>
                </c:pt>
                <c:pt idx="5" formatCode="0%">
                  <c:v>1</c:v>
                </c:pt>
                <c:pt idx="6" formatCode="0%">
                  <c:v>1</c:v>
                </c:pt>
              </c:numCache>
            </c:numRef>
          </c:val>
        </c:ser>
        <c:ser>
          <c:idx val="2"/>
          <c:order val="2"/>
          <c:tx>
            <c:strRef>
              <c:f>'Tablero de Mando'!$H$243</c:f>
              <c:strCache>
                <c:ptCount val="1"/>
                <c:pt idx="0">
                  <c:v>REGULAR (%)</c:v>
                </c:pt>
              </c:strCache>
            </c:strRef>
          </c:tx>
          <c:spPr>
            <a:ln w="25400">
              <a:solidFill>
                <a:srgbClr val="00ABEA"/>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Mando'!$I$243:$O$243</c:f>
              <c:numCache>
                <c:formatCode>General</c:formatCode>
                <c:ptCount val="7"/>
                <c:pt idx="3" formatCode="0%">
                  <c:v>0.8</c:v>
                </c:pt>
                <c:pt idx="4" formatCode="0%">
                  <c:v>0.8</c:v>
                </c:pt>
                <c:pt idx="5" formatCode="0%">
                  <c:v>0.8</c:v>
                </c:pt>
                <c:pt idx="6" formatCode="0%">
                  <c:v>0.8</c:v>
                </c:pt>
              </c:numCache>
            </c:numRef>
          </c:val>
        </c:ser>
        <c:ser>
          <c:idx val="3"/>
          <c:order val="3"/>
          <c:tx>
            <c:strRef>
              <c:f>'Tablero de Mando'!$H$244</c:f>
              <c:strCache>
                <c:ptCount val="1"/>
                <c:pt idx="0">
                  <c:v>DEFICIENTE (%)</c:v>
                </c:pt>
              </c:strCache>
            </c:strRef>
          </c:tx>
          <c:spPr>
            <a:ln w="25400">
              <a:solidFill>
                <a:srgbClr val="DD0806"/>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Mando'!$I$244:$O$244</c:f>
              <c:numCache>
                <c:formatCode>General</c:formatCode>
                <c:ptCount val="7"/>
                <c:pt idx="3" formatCode="0%">
                  <c:v>0.60000000000000064</c:v>
                </c:pt>
                <c:pt idx="4" formatCode="0%">
                  <c:v>0.60000000000000064</c:v>
                </c:pt>
                <c:pt idx="5" formatCode="0%">
                  <c:v>0.60000000000000064</c:v>
                </c:pt>
                <c:pt idx="6" formatCode="0%">
                  <c:v>0.60000000000000064</c:v>
                </c:pt>
              </c:numCache>
            </c:numRef>
          </c:val>
        </c:ser>
        <c:marker val="1"/>
        <c:axId val="169211008"/>
        <c:axId val="169212544"/>
      </c:lineChart>
      <c:catAx>
        <c:axId val="169211008"/>
        <c:scaling>
          <c:orientation val="minMax"/>
        </c:scaling>
        <c:axPos val="b"/>
        <c:numFmt formatCode="General" sourceLinked="1"/>
        <c:tickLblPos val="nextTo"/>
        <c:spPr>
          <a:ln w="3175">
            <a:solidFill>
              <a:srgbClr val="000000"/>
            </a:solidFill>
            <a:prstDash val="solid"/>
          </a:ln>
        </c:spPr>
        <c:txPr>
          <a:bodyPr rot="-5400000" vert="horz"/>
          <a:lstStyle/>
          <a:p>
            <a:pPr>
              <a:defRPr sz="975" b="1" i="0" u="none" strike="noStrike" baseline="0">
                <a:solidFill>
                  <a:srgbClr val="000000"/>
                </a:solidFill>
                <a:latin typeface="Arial"/>
                <a:ea typeface="Arial"/>
                <a:cs typeface="Arial"/>
              </a:defRPr>
            </a:pPr>
            <a:endParaRPr lang="es-ES"/>
          </a:p>
        </c:txPr>
        <c:crossAx val="169212544"/>
        <c:crosses val="autoZero"/>
        <c:auto val="1"/>
        <c:lblAlgn val="ctr"/>
        <c:lblOffset val="100"/>
        <c:tickLblSkip val="1"/>
        <c:tickMarkSkip val="1"/>
      </c:catAx>
      <c:valAx>
        <c:axId val="169212544"/>
        <c:scaling>
          <c:orientation val="minMax"/>
          <c:max val="1.4"/>
          <c:min val="0"/>
        </c:scaling>
        <c:axPos val="l"/>
        <c:numFmt formatCode="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69211008"/>
        <c:crosses val="autoZero"/>
        <c:crossBetween val="between"/>
        <c:minorUnit val="0.1"/>
      </c:valAx>
      <c:spPr>
        <a:noFill/>
        <a:ln w="25400">
          <a:noFill/>
        </a:ln>
      </c:spPr>
    </c:plotArea>
    <c:legend>
      <c:legendPos val="r"/>
      <c:layout>
        <c:manualLayout>
          <c:xMode val="edge"/>
          <c:yMode val="edge"/>
          <c:x val="0.79245301589659778"/>
          <c:y val="0.15086206896551718"/>
          <c:w val="0.19339715495468718"/>
          <c:h val="0.78448241922345918"/>
        </c:manualLayout>
      </c:layout>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725" b="0" i="0" u="none" strike="noStrike" baseline="0">
          <a:solidFill>
            <a:srgbClr val="000000"/>
          </a:solidFill>
          <a:latin typeface="Arial"/>
          <a:ea typeface="Arial"/>
          <a:cs typeface="Arial"/>
        </a:defRPr>
      </a:pPr>
      <a:endParaRPr lang="es-ES"/>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CO"/>
              <a:t>% EFECTIVIDAD</a:t>
            </a:r>
            <a:r>
              <a:rPr lang="es-CO" baseline="0"/>
              <a:t> DEL S.G.C.</a:t>
            </a:r>
            <a:endParaRPr lang="es-CO"/>
          </a:p>
        </c:rich>
      </c:tx>
    </c:title>
    <c:plotArea>
      <c:layout>
        <c:manualLayout>
          <c:layoutTarget val="inner"/>
          <c:xMode val="edge"/>
          <c:yMode val="edge"/>
          <c:x val="9.8039424273694012E-2"/>
          <c:y val="7.5757799946141499E-2"/>
          <c:w val="0.63988468858454428"/>
          <c:h val="0.66969895152389392"/>
        </c:manualLayout>
      </c:layout>
      <c:barChart>
        <c:barDir val="col"/>
        <c:grouping val="clustered"/>
        <c:ser>
          <c:idx val="0"/>
          <c:order val="0"/>
          <c:tx>
            <c:strRef>
              <c:f>'Tablero de Mando'!$H$248</c:f>
              <c:strCache>
                <c:ptCount val="1"/>
                <c:pt idx="0">
                  <c:v>% EFECTIVIDAD DEL S.G.C. </c:v>
                </c:pt>
              </c:strCache>
            </c:strRef>
          </c:tx>
          <c:spPr>
            <a:solidFill>
              <a:srgbClr val="009900"/>
            </a:solidFill>
            <a:ln w="12700">
              <a:solidFill>
                <a:srgbClr val="000000"/>
              </a:solidFill>
              <a:prstDash val="solid"/>
            </a:ln>
          </c:spPr>
          <c:dLbls>
            <c:dLbl>
              <c:idx val="1"/>
              <c:layout>
                <c:manualLayout>
                  <c:x val="2.8550046046474912E-4"/>
                  <c:y val="0.6303048955518965"/>
                </c:manualLayout>
              </c:layout>
              <c:dLblPos val="outEnd"/>
              <c:showVal val="1"/>
            </c:dLbl>
            <c:dLbl>
              <c:idx val="2"/>
              <c:layout>
                <c:manualLayout>
                  <c:x val="-5.0053992125099443E-3"/>
                  <c:y val="0.63939583154543411"/>
                </c:manualLayout>
              </c:layout>
              <c:dLblPos val="outEnd"/>
              <c:showVal val="1"/>
            </c:dLbl>
            <c:dLbl>
              <c:idx val="3"/>
              <c:layout>
                <c:manualLayout>
                  <c:x val="-4.6719734113390534E-3"/>
                  <c:y val="-1.694551817386462E-2"/>
                </c:manualLayout>
              </c:layout>
              <c:dLblPos val="outEnd"/>
              <c:showVal val="1"/>
            </c:dLbl>
            <c:dLbl>
              <c:idx val="4"/>
              <c:layout>
                <c:manualLayout>
                  <c:x val="-4.9016865986265922E-4"/>
                  <c:y val="-1.0088284418993102E-2"/>
                </c:manualLayout>
              </c:layout>
              <c:dLblPos val="outEnd"/>
              <c:showVal val="1"/>
            </c:dLbl>
            <c:dLbl>
              <c:idx val="5"/>
              <c:layout>
                <c:manualLayout>
                  <c:x val="-2.384021526431232E-3"/>
                  <c:y val="-3.0283941780005056E-3"/>
                </c:manualLayout>
              </c:layout>
              <c:dLblPos val="outEnd"/>
              <c:showVal val="1"/>
            </c:dLbl>
            <c:dLbl>
              <c:idx val="6"/>
              <c:layout>
                <c:manualLayout>
                  <c:x val="-9.3248404924994224E-3"/>
                  <c:y val="-3.6361727511333812E-2"/>
                </c:manualLayout>
              </c:layout>
              <c:dLblPos val="outEnd"/>
              <c:showVal val="1"/>
            </c:dLbl>
            <c:dLbl>
              <c:idx val="7"/>
              <c:layout>
                <c:manualLayout>
                  <c:xMode val="edge"/>
                  <c:yMode val="edge"/>
                  <c:x val="0.94989308851845444"/>
                  <c:y val="0.44545586368330908"/>
                </c:manualLayout>
              </c:layout>
              <c:dLblPos val="outEnd"/>
              <c:showVal val="1"/>
            </c:dLbl>
            <c:dLbl>
              <c:idx val="8"/>
              <c:layout>
                <c:manualLayout>
                  <c:xMode val="edge"/>
                  <c:yMode val="edge"/>
                  <c:x val="0.71459847026159062"/>
                  <c:y val="1.5151559989228201E-2"/>
                </c:manualLayout>
              </c:layout>
              <c:dLblPos val="outEnd"/>
              <c:showVal val="1"/>
            </c:dLbl>
            <c:dLbl>
              <c:idx val="9"/>
              <c:layout>
                <c:manualLayout>
                  <c:xMode val="edge"/>
                  <c:yMode val="edge"/>
                  <c:x val="0.71677712413433603"/>
                  <c:y val="1.5151559989228201E-2"/>
                </c:manualLayout>
              </c:layout>
              <c:dLblPos val="outEnd"/>
              <c:showVal val="1"/>
            </c:dLbl>
            <c:dLbl>
              <c:idx val="10"/>
              <c:layout>
                <c:manualLayout>
                  <c:xMode val="edge"/>
                  <c:yMode val="edge"/>
                  <c:x val="0.80174462517153933"/>
                  <c:y val="1.5151559989228201E-2"/>
                </c:manualLayout>
              </c:layout>
              <c:dLblPos val="outEnd"/>
              <c:showVal val="1"/>
            </c:dLbl>
            <c:dLbl>
              <c:idx val="11"/>
              <c:layout>
                <c:manualLayout>
                  <c:xMode val="edge"/>
                  <c:yMode val="edge"/>
                  <c:x val="0.90849866493622267"/>
                  <c:y val="1.5151559989228201E-2"/>
                </c:manualLayout>
              </c:layout>
              <c:dLblPos val="outEnd"/>
              <c:showVal val="1"/>
            </c:dLbl>
            <c:dLbl>
              <c:idx val="12"/>
              <c:layout>
                <c:manualLayout>
                  <c:xMode val="edge"/>
                  <c:yMode val="edge"/>
                  <c:x val="0.36601385062178893"/>
                  <c:y val="0.47878929565961276"/>
                </c:manualLayout>
              </c:layout>
              <c:dLblPos val="outEnd"/>
              <c:showVal val="1"/>
            </c:dLbl>
            <c:dLbl>
              <c:idx val="13"/>
              <c:layout>
                <c:manualLayout>
                  <c:xMode val="edge"/>
                  <c:yMode val="edge"/>
                  <c:x val="0.42265885131325776"/>
                  <c:y val="0.47878929565961276"/>
                </c:manualLayout>
              </c:layout>
              <c:dLblPos val="outEnd"/>
              <c:showVal val="1"/>
            </c:dLbl>
            <c:dLbl>
              <c:idx val="14"/>
              <c:layout>
                <c:manualLayout>
                  <c:xMode val="edge"/>
                  <c:yMode val="edge"/>
                  <c:x val="0.38780038934927985"/>
                  <c:y val="0.54545615961221139"/>
                </c:manualLayout>
              </c:layout>
              <c:dLblPos val="outEnd"/>
              <c:showVal val="1"/>
            </c:dLbl>
            <c:dLbl>
              <c:idx val="15"/>
              <c:layout>
                <c:manualLayout>
                  <c:xMode val="edge"/>
                  <c:yMode val="edge"/>
                  <c:x val="0.47930385200472331"/>
                  <c:y val="0.19393996786212225"/>
                </c:manualLayout>
              </c:layout>
              <c:dLblPos val="outEnd"/>
              <c:showVal val="1"/>
            </c:dLbl>
            <c:dLbl>
              <c:idx val="16"/>
              <c:layout>
                <c:manualLayout>
                  <c:xMode val="edge"/>
                  <c:yMode val="edge"/>
                  <c:x val="0.45533865940448731"/>
                  <c:y val="0.26060683181472538"/>
                </c:manualLayout>
              </c:layout>
              <c:dLblPos val="outEnd"/>
              <c:showVal val="1"/>
            </c:dLbl>
            <c:dLbl>
              <c:idx val="17"/>
              <c:layout>
                <c:manualLayout>
                  <c:xMode val="edge"/>
                  <c:yMode val="edge"/>
                  <c:x val="0.51198366009595131"/>
                  <c:y val="0.25757651981688034"/>
                </c:manualLayout>
              </c:layout>
              <c:dLblPos val="outEnd"/>
              <c:showVal val="1"/>
            </c:dLbl>
            <c:dLbl>
              <c:idx val="18"/>
              <c:layout>
                <c:manualLayout>
                  <c:xMode val="edge"/>
                  <c:yMode val="edge"/>
                  <c:x val="0.53812750656893904"/>
                  <c:y val="0.19697027985996601"/>
                </c:manualLayout>
              </c:layout>
              <c:dLblPos val="outEnd"/>
              <c:showVal val="1"/>
            </c:dLbl>
            <c:dLbl>
              <c:idx val="19"/>
              <c:layout>
                <c:manualLayout>
                  <c:xMode val="edge"/>
                  <c:yMode val="edge"/>
                  <c:x val="0.56645000691467362"/>
                  <c:y val="0.24242495982765144"/>
                </c:manualLayout>
              </c:layout>
              <c:dLblPos val="outEnd"/>
              <c:showVal val="1"/>
            </c:dLbl>
            <c:numFmt formatCode="0%" sourceLinked="0"/>
            <c:spPr>
              <a:noFill/>
              <a:ln w="25400">
                <a:noFill/>
              </a:ln>
            </c:spPr>
            <c:txPr>
              <a:bodyPr/>
              <a:lstStyle/>
              <a:p>
                <a:pPr>
                  <a:defRPr sz="1000" b="1" i="0" u="none" strike="noStrike" baseline="0">
                    <a:solidFill>
                      <a:srgbClr val="000000"/>
                    </a:solidFill>
                    <a:latin typeface="Arial"/>
                    <a:ea typeface="Arial"/>
                    <a:cs typeface="Arial"/>
                  </a:defRPr>
                </a:pPr>
                <a:endParaRPr lang="es-ES"/>
              </a:p>
            </c:txPr>
            <c:showVal val="1"/>
          </c:dLbls>
          <c:cat>
            <c:strRef>
              <c:f>'Tablero de Mando'!$I$231:$O$231</c:f>
              <c:strCache>
                <c:ptCount val="7"/>
                <c:pt idx="3">
                  <c:v>ENE-MAR/2014</c:v>
                </c:pt>
                <c:pt idx="4">
                  <c:v>ABR-JUN/2014</c:v>
                </c:pt>
                <c:pt idx="5">
                  <c:v>JUL-SEP/2014</c:v>
                </c:pt>
                <c:pt idx="6">
                  <c:v>OCT-DIC/2014</c:v>
                </c:pt>
              </c:strCache>
            </c:strRef>
          </c:cat>
          <c:val>
            <c:numRef>
              <c:f>'Tablero de Mando'!$I$248:$O$248</c:f>
              <c:numCache>
                <c:formatCode>General</c:formatCode>
                <c:ptCount val="7"/>
                <c:pt idx="3" formatCode="0%">
                  <c:v>0.96198830409356761</c:v>
                </c:pt>
                <c:pt idx="4" formatCode="0%">
                  <c:v>1</c:v>
                </c:pt>
                <c:pt idx="5" formatCode="0%">
                  <c:v>1</c:v>
                </c:pt>
                <c:pt idx="6" formatCode="0%">
                  <c:v>1</c:v>
                </c:pt>
              </c:numCache>
            </c:numRef>
          </c:val>
        </c:ser>
        <c:gapWidth val="20"/>
        <c:axId val="169473536"/>
        <c:axId val="169475072"/>
      </c:barChart>
      <c:lineChart>
        <c:grouping val="standard"/>
        <c:ser>
          <c:idx val="1"/>
          <c:order val="1"/>
          <c:tx>
            <c:strRef>
              <c:f>'Tablero de Mando'!$H$250</c:f>
              <c:strCache>
                <c:ptCount val="1"/>
                <c:pt idx="0">
                  <c:v>EXCELENTE (%)</c:v>
                </c:pt>
              </c:strCache>
            </c:strRef>
          </c:tx>
          <c:spPr>
            <a:ln w="25400">
              <a:solidFill>
                <a:srgbClr val="339966"/>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Mando'!$I$250:$O$250</c:f>
              <c:numCache>
                <c:formatCode>General</c:formatCode>
                <c:ptCount val="7"/>
                <c:pt idx="3" formatCode="0%">
                  <c:v>1</c:v>
                </c:pt>
                <c:pt idx="4" formatCode="0%">
                  <c:v>1</c:v>
                </c:pt>
                <c:pt idx="5" formatCode="0%">
                  <c:v>1</c:v>
                </c:pt>
                <c:pt idx="6" formatCode="0%">
                  <c:v>1</c:v>
                </c:pt>
              </c:numCache>
            </c:numRef>
          </c:val>
        </c:ser>
        <c:ser>
          <c:idx val="2"/>
          <c:order val="2"/>
          <c:tx>
            <c:strRef>
              <c:f>'Tablero de Mando'!$H$251</c:f>
              <c:strCache>
                <c:ptCount val="1"/>
                <c:pt idx="0">
                  <c:v>REGULAR (%)</c:v>
                </c:pt>
              </c:strCache>
            </c:strRef>
          </c:tx>
          <c:spPr>
            <a:ln w="25400">
              <a:solidFill>
                <a:srgbClr val="00ABEA"/>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Mando'!$I$251:$O$251</c:f>
              <c:numCache>
                <c:formatCode>General</c:formatCode>
                <c:ptCount val="7"/>
                <c:pt idx="3" formatCode="0%">
                  <c:v>0.8</c:v>
                </c:pt>
                <c:pt idx="4" formatCode="0%">
                  <c:v>0.8</c:v>
                </c:pt>
                <c:pt idx="5" formatCode="0%">
                  <c:v>0.8</c:v>
                </c:pt>
                <c:pt idx="6" formatCode="0%">
                  <c:v>0.8</c:v>
                </c:pt>
              </c:numCache>
            </c:numRef>
          </c:val>
        </c:ser>
        <c:ser>
          <c:idx val="3"/>
          <c:order val="3"/>
          <c:tx>
            <c:strRef>
              <c:f>'Tablero de Mando'!$H$252</c:f>
              <c:strCache>
                <c:ptCount val="1"/>
                <c:pt idx="0">
                  <c:v>DEFICIENTE (%)</c:v>
                </c:pt>
              </c:strCache>
            </c:strRef>
          </c:tx>
          <c:spPr>
            <a:ln w="25400">
              <a:solidFill>
                <a:srgbClr val="DD0806"/>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Mando'!$I$252:$O$252</c:f>
              <c:numCache>
                <c:formatCode>General</c:formatCode>
                <c:ptCount val="7"/>
                <c:pt idx="3" formatCode="0%">
                  <c:v>0.60000000000000064</c:v>
                </c:pt>
                <c:pt idx="4" formatCode="0%">
                  <c:v>0.60000000000000064</c:v>
                </c:pt>
                <c:pt idx="5" formatCode="0%">
                  <c:v>0.60000000000000064</c:v>
                </c:pt>
                <c:pt idx="6" formatCode="0%">
                  <c:v>0.60000000000000064</c:v>
                </c:pt>
              </c:numCache>
            </c:numRef>
          </c:val>
        </c:ser>
        <c:marker val="1"/>
        <c:axId val="169473536"/>
        <c:axId val="169475072"/>
      </c:lineChart>
      <c:catAx>
        <c:axId val="169473536"/>
        <c:scaling>
          <c:orientation val="minMax"/>
        </c:scaling>
        <c:axPos val="b"/>
        <c:numFmt formatCode="General" sourceLinked="1"/>
        <c:tickLblPos val="nextTo"/>
        <c:spPr>
          <a:ln w="3175">
            <a:solidFill>
              <a:srgbClr val="000000"/>
            </a:solidFill>
            <a:prstDash val="solid"/>
          </a:ln>
        </c:spPr>
        <c:txPr>
          <a:bodyPr rot="-5400000" vert="horz"/>
          <a:lstStyle/>
          <a:p>
            <a:pPr>
              <a:defRPr sz="975" b="1" i="0" u="none" strike="noStrike" baseline="0">
                <a:solidFill>
                  <a:srgbClr val="000000"/>
                </a:solidFill>
                <a:latin typeface="Arial"/>
                <a:ea typeface="Arial"/>
                <a:cs typeface="Arial"/>
              </a:defRPr>
            </a:pPr>
            <a:endParaRPr lang="es-ES"/>
          </a:p>
        </c:txPr>
        <c:crossAx val="169475072"/>
        <c:crosses val="autoZero"/>
        <c:auto val="1"/>
        <c:lblAlgn val="ctr"/>
        <c:lblOffset val="100"/>
        <c:tickLblSkip val="1"/>
        <c:tickMarkSkip val="1"/>
      </c:catAx>
      <c:valAx>
        <c:axId val="169475072"/>
        <c:scaling>
          <c:orientation val="minMax"/>
          <c:max val="1.5"/>
          <c:min val="0"/>
        </c:scaling>
        <c:axPos val="l"/>
        <c:numFmt formatCode="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69473536"/>
        <c:crosses val="autoZero"/>
        <c:crossBetween val="between"/>
        <c:majorUnit val="0.1"/>
        <c:minorUnit val="0.05"/>
      </c:valAx>
      <c:spPr>
        <a:noFill/>
        <a:ln w="25400">
          <a:noFill/>
        </a:ln>
      </c:spPr>
    </c:plotArea>
    <c:legend>
      <c:legendPos val="r"/>
      <c:layout>
        <c:manualLayout>
          <c:xMode val="edge"/>
          <c:yMode val="edge"/>
          <c:x val="0.75118483412322357"/>
          <c:y val="0.17167381974248927"/>
          <c:w val="0.19668246445497631"/>
          <c:h val="0.75965665236051683"/>
        </c:manualLayout>
      </c:layout>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600" b="0" i="0" u="none" strike="noStrike" baseline="0">
          <a:solidFill>
            <a:srgbClr val="000000"/>
          </a:solidFill>
          <a:latin typeface="Arial"/>
          <a:ea typeface="Arial"/>
          <a:cs typeface="Arial"/>
        </a:defRPr>
      </a:pPr>
      <a:endParaRPr lang="es-ES"/>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400" b="1"/>
            </a:pPr>
            <a:r>
              <a:rPr lang="es-CO" sz="1400" b="1"/>
              <a:t>% CUMPLIMIENTO DE ENTRREGA DE INFORMES A ENTIDADES</a:t>
            </a:r>
          </a:p>
        </c:rich>
      </c:tx>
    </c:title>
    <c:plotArea>
      <c:layout>
        <c:manualLayout>
          <c:layoutTarget val="inner"/>
          <c:xMode val="edge"/>
          <c:yMode val="edge"/>
          <c:x val="0.11604966254258912"/>
          <c:y val="0.10958922435056002"/>
          <c:w val="0.66527416475740608"/>
          <c:h val="0.56110681080119362"/>
        </c:manualLayout>
      </c:layout>
      <c:barChart>
        <c:barDir val="col"/>
        <c:grouping val="clustered"/>
        <c:ser>
          <c:idx val="0"/>
          <c:order val="0"/>
          <c:tx>
            <c:strRef>
              <c:f>DATOS!$A$29</c:f>
              <c:strCache>
                <c:ptCount val="1"/>
                <c:pt idx="0">
                  <c:v>% De cumplimiento de entrega de Informes a Entidades Externas</c:v>
                </c:pt>
              </c:strCache>
            </c:strRef>
          </c:tx>
          <c:spPr>
            <a:solidFill>
              <a:srgbClr val="008000"/>
            </a:solidFill>
            <a:ln w="12700">
              <a:solidFill>
                <a:srgbClr val="000000"/>
              </a:solidFill>
              <a:prstDash val="solid"/>
            </a:ln>
          </c:spPr>
          <c:dLbls>
            <c:dLbl>
              <c:idx val="1"/>
              <c:layout>
                <c:manualLayout>
                  <c:x val="9.9218533720028222E-3"/>
                  <c:y val="-2.6078759287392006E-2"/>
                </c:manualLayout>
              </c:layout>
              <c:dLblPos val="outEnd"/>
              <c:showVal val="1"/>
            </c:dLbl>
            <c:dLbl>
              <c:idx val="2"/>
              <c:layout>
                <c:manualLayout>
                  <c:x val="3.1316527240608867E-3"/>
                  <c:y val="-1.9229432765482078E-2"/>
                </c:manualLayout>
              </c:layout>
              <c:dLblPos val="outEnd"/>
              <c:showVal val="1"/>
            </c:dLbl>
            <c:dLbl>
              <c:idx val="3"/>
              <c:layout>
                <c:manualLayout>
                  <c:x val="8.6874200841012723E-3"/>
                  <c:y val="-2.2654096026437011E-2"/>
                </c:manualLayout>
              </c:layout>
              <c:dLblPos val="outEnd"/>
              <c:showVal val="1"/>
            </c:dLbl>
            <c:dLbl>
              <c:idx val="4"/>
              <c:layout>
                <c:manualLayout>
                  <c:x val="7.1059465178561409E-3"/>
                  <c:y val="-8.9526296629034805E-3"/>
                </c:manualLayout>
              </c:layout>
              <c:dLblPos val="outEnd"/>
              <c:showVal val="1"/>
            </c:dLbl>
            <c:dLbl>
              <c:idx val="5"/>
              <c:layout>
                <c:manualLayout>
                  <c:x val="1.6999817468859604E-2"/>
                  <c:y val="-9.8168067974555226E-3"/>
                </c:manualLayout>
              </c:layout>
              <c:dLblPos val="outEnd"/>
              <c:showVal val="1"/>
            </c:dLbl>
            <c:dLbl>
              <c:idx val="6"/>
              <c:layout>
                <c:manualLayout>
                  <c:x val="2.0653461482782298E-2"/>
                  <c:y val="-5.5632367987900134E-3"/>
                </c:manualLayout>
              </c:layout>
              <c:dLblPos val="outEnd"/>
              <c:showVal val="1"/>
            </c:dLbl>
            <c:dLbl>
              <c:idx val="7"/>
              <c:layout>
                <c:manualLayout>
                  <c:x val="6.5680998508280009E-3"/>
                  <c:y val="-1.7622136216023921E-2"/>
                </c:manualLayout>
              </c:layout>
              <c:dLblPos val="outEnd"/>
              <c:showVal val="1"/>
            </c:dLbl>
            <c:dLbl>
              <c:idx val="8"/>
              <c:layout>
                <c:manualLayout>
                  <c:x val="1.0207390625168783E-2"/>
                  <c:y val="-4.7253782678261472E-3"/>
                </c:manualLayout>
              </c:layout>
              <c:dLblPos val="outEnd"/>
              <c:showVal val="1"/>
            </c:dLbl>
            <c:dLbl>
              <c:idx val="9"/>
              <c:layout>
                <c:manualLayout>
                  <c:x val="1.978559294581668E-2"/>
                  <c:y val="1.7123316304775007E-2"/>
                </c:manualLayout>
              </c:layout>
              <c:dLblPos val="outEnd"/>
              <c:showVal val="1"/>
            </c:dLbl>
            <c:dLbl>
              <c:idx val="10"/>
              <c:layout>
                <c:manualLayout>
                  <c:x val="1.9379885046772613E-2"/>
                  <c:y val="-8.8630152454845547E-3"/>
                </c:manualLayout>
              </c:layout>
              <c:dLblPos val="outEnd"/>
              <c:showVal val="1"/>
            </c:dLbl>
            <c:dLbl>
              <c:idx val="11"/>
              <c:layout>
                <c:manualLayout>
                  <c:x val="2.516477786043771E-2"/>
                  <c:y val="-1.066758154794707E-2"/>
                </c:manualLayout>
              </c:layout>
              <c:dLblPos val="outEnd"/>
              <c:showVal val="1"/>
            </c:dLbl>
            <c:dLbl>
              <c:idx val="12"/>
              <c:layout>
                <c:manualLayout>
                  <c:x val="6.9694165927101518E-3"/>
                  <c:y val="-8.9530673072646897E-3"/>
                </c:manualLayout>
              </c:layout>
              <c:dLblPos val="outEnd"/>
              <c:showVal val="1"/>
            </c:dLbl>
            <c:dLbl>
              <c:idx val="13"/>
              <c:layout>
                <c:manualLayout>
                  <c:x val="2.5005507405099981E-2"/>
                  <c:y val="-1.4835535388584909E-2"/>
                </c:manualLayout>
              </c:layout>
              <c:dLblPos val="outEnd"/>
              <c:showVal val="1"/>
            </c:dLbl>
            <c:dLbl>
              <c:idx val="14"/>
              <c:layout>
                <c:manualLayout>
                  <c:x val="4.6440202168973356E-2"/>
                  <c:y val="-3.4407936296098493E-2"/>
                </c:manualLayout>
              </c:layout>
              <c:dLblPos val="outEnd"/>
              <c:showVal val="1"/>
            </c:dLbl>
            <c:dLbl>
              <c:idx val="15"/>
              <c:layout>
                <c:manualLayout>
                  <c:x val="-4.7907500771036733E-2"/>
                  <c:y val="1.5788602695849502E-2"/>
                </c:manualLayout>
              </c:layout>
              <c:dLblPos val="outEnd"/>
              <c:showVal val="1"/>
            </c:dLbl>
            <c:dLbl>
              <c:idx val="16"/>
              <c:layout>
                <c:manualLayout>
                  <c:x val="-1.8980371771901441E-2"/>
                  <c:y val="4.3194913835074004E-2"/>
                </c:manualLayout>
              </c:layout>
              <c:dLblPos val="outEnd"/>
              <c:showVal val="1"/>
            </c:dLbl>
            <c:dLbl>
              <c:idx val="17"/>
              <c:layout>
                <c:manualLayout>
                  <c:x val="1.7260340885682804E-2"/>
                  <c:y val="3.9770250574118912E-2"/>
                </c:manualLayout>
              </c:layout>
              <c:dLblPos val="outEnd"/>
              <c:showVal val="1"/>
            </c:dLbl>
            <c:dLbl>
              <c:idx val="18"/>
              <c:layout>
                <c:manualLayout>
                  <c:x val="1.8933068956112603E-2"/>
                  <c:y val="-2.8723014644980904E-2"/>
                </c:manualLayout>
              </c:layout>
              <c:dLblPos val="outEnd"/>
              <c:showVal val="1"/>
            </c:dLbl>
            <c:dLbl>
              <c:idx val="19"/>
              <c:layout>
                <c:manualLayout>
                  <c:x val="2.3074687015677556E-2"/>
                  <c:y val="2.2646934269344016E-2"/>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Val val="1"/>
          </c:dLbls>
          <c:cat>
            <c:strRef>
              <c:f>DATOS!$B$28:$Q$28</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DATOS!$B$29:$Q$29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gapWidth val="30"/>
        <c:axId val="169588608"/>
        <c:axId val="169590144"/>
      </c:barChart>
      <c:lineChart>
        <c:grouping val="standard"/>
        <c:ser>
          <c:idx val="1"/>
          <c:order val="1"/>
          <c:tx>
            <c:strRef>
              <c:f>DATOS!$A$30</c:f>
              <c:strCache>
                <c:ptCount val="1"/>
                <c:pt idx="0">
                  <c:v>EXCELENTE</c:v>
                </c:pt>
              </c:strCache>
            </c:strRef>
          </c:tx>
          <c:spPr>
            <a:ln w="25400">
              <a:solidFill>
                <a:srgbClr val="339966"/>
              </a:solidFill>
              <a:prstDash val="solid"/>
            </a:ln>
          </c:spPr>
          <c:marker>
            <c:symbol val="none"/>
          </c:marker>
          <c:cat>
            <c:strRef>
              <c:f>DATOS!$B$28:$Q$28</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DATOS!$B$30:$Q$30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ser>
          <c:idx val="2"/>
          <c:order val="2"/>
          <c:tx>
            <c:strRef>
              <c:f>DATOS!$A$31</c:f>
              <c:strCache>
                <c:ptCount val="1"/>
                <c:pt idx="0">
                  <c:v>REGULAR</c:v>
                </c:pt>
              </c:strCache>
            </c:strRef>
          </c:tx>
          <c:spPr>
            <a:ln w="25400">
              <a:solidFill>
                <a:srgbClr val="00B0F0"/>
              </a:solidFill>
              <a:prstDash val="solid"/>
            </a:ln>
          </c:spPr>
          <c:marker>
            <c:symbol val="none"/>
          </c:marker>
          <c:cat>
            <c:strRef>
              <c:f>DATOS!$B$28:$Q$28</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DATOS!$B$31:$Q$31</c:f>
              <c:numCache>
                <c:formatCode>0%</c:formatCode>
                <c:ptCount val="12"/>
                <c:pt idx="0">
                  <c:v>0.8</c:v>
                </c:pt>
                <c:pt idx="1">
                  <c:v>0.8</c:v>
                </c:pt>
                <c:pt idx="2">
                  <c:v>0.8</c:v>
                </c:pt>
                <c:pt idx="3">
                  <c:v>0.8</c:v>
                </c:pt>
                <c:pt idx="4">
                  <c:v>0.8</c:v>
                </c:pt>
                <c:pt idx="5">
                  <c:v>0.8</c:v>
                </c:pt>
                <c:pt idx="6">
                  <c:v>0.8</c:v>
                </c:pt>
                <c:pt idx="7">
                  <c:v>0.8</c:v>
                </c:pt>
                <c:pt idx="8">
                  <c:v>0.8</c:v>
                </c:pt>
                <c:pt idx="9">
                  <c:v>0.8</c:v>
                </c:pt>
                <c:pt idx="10">
                  <c:v>0.8</c:v>
                </c:pt>
                <c:pt idx="11">
                  <c:v>0.8</c:v>
                </c:pt>
              </c:numCache>
            </c:numRef>
          </c:val>
        </c:ser>
        <c:ser>
          <c:idx val="3"/>
          <c:order val="3"/>
          <c:tx>
            <c:strRef>
              <c:f>DATOS!$A$32</c:f>
              <c:strCache>
                <c:ptCount val="1"/>
                <c:pt idx="0">
                  <c:v>DEFICIENTE</c:v>
                </c:pt>
              </c:strCache>
            </c:strRef>
          </c:tx>
          <c:spPr>
            <a:ln w="25400">
              <a:solidFill>
                <a:srgbClr val="FF0000"/>
              </a:solidFill>
              <a:prstDash val="solid"/>
            </a:ln>
          </c:spPr>
          <c:marker>
            <c:symbol val="none"/>
          </c:marker>
          <c:cat>
            <c:strRef>
              <c:f>DATOS!$B$28:$Q$28</c:f>
              <c:strCache>
                <c:ptCount val="12"/>
                <c:pt idx="0">
                  <c:v>ENE-MAR 2012</c:v>
                </c:pt>
                <c:pt idx="1">
                  <c:v>ABR - JUN/2012</c:v>
                </c:pt>
                <c:pt idx="2">
                  <c:v>JUL-SEP/2012</c:v>
                </c:pt>
                <c:pt idx="3">
                  <c:v>OCT-DIC/2012</c:v>
                </c:pt>
                <c:pt idx="4">
                  <c:v>ENE-MAR 2013</c:v>
                </c:pt>
                <c:pt idx="5">
                  <c:v>ABR - JUN/2013</c:v>
                </c:pt>
                <c:pt idx="6">
                  <c:v>JUL-SEP/2013</c:v>
                </c:pt>
                <c:pt idx="7">
                  <c:v>OCT-DIC/2013</c:v>
                </c:pt>
                <c:pt idx="8">
                  <c:v>ENE-MAR 2014</c:v>
                </c:pt>
                <c:pt idx="9">
                  <c:v>ABR-JUN 2014</c:v>
                </c:pt>
                <c:pt idx="10">
                  <c:v>JUL - SEP 2014</c:v>
                </c:pt>
                <c:pt idx="11">
                  <c:v>OCT-DIC 2014</c:v>
                </c:pt>
              </c:strCache>
            </c:strRef>
          </c:cat>
          <c:val>
            <c:numRef>
              <c:f>DATOS!$B$32:$Q$32</c:f>
              <c:numCache>
                <c:formatCode>0%</c:formatCode>
                <c:ptCount val="12"/>
                <c:pt idx="0">
                  <c:v>0.70000000000000062</c:v>
                </c:pt>
                <c:pt idx="1">
                  <c:v>0.70000000000000062</c:v>
                </c:pt>
                <c:pt idx="2">
                  <c:v>0.70000000000000062</c:v>
                </c:pt>
                <c:pt idx="3">
                  <c:v>0.70000000000000062</c:v>
                </c:pt>
                <c:pt idx="4">
                  <c:v>0.70000000000000062</c:v>
                </c:pt>
                <c:pt idx="5">
                  <c:v>0.70000000000000062</c:v>
                </c:pt>
                <c:pt idx="6">
                  <c:v>0.70000000000000062</c:v>
                </c:pt>
                <c:pt idx="7">
                  <c:v>0.70000000000000062</c:v>
                </c:pt>
                <c:pt idx="8">
                  <c:v>0.70000000000000062</c:v>
                </c:pt>
                <c:pt idx="9">
                  <c:v>0.70000000000000062</c:v>
                </c:pt>
                <c:pt idx="10">
                  <c:v>0.70000000000000062</c:v>
                </c:pt>
                <c:pt idx="11">
                  <c:v>0.70000000000000062</c:v>
                </c:pt>
              </c:numCache>
            </c:numRef>
          </c:val>
        </c:ser>
        <c:marker val="1"/>
        <c:axId val="169588608"/>
        <c:axId val="169590144"/>
      </c:lineChart>
      <c:catAx>
        <c:axId val="169588608"/>
        <c:scaling>
          <c:orientation val="minMax"/>
        </c:scaling>
        <c:axPos val="b"/>
        <c:numFmt formatCode="General" sourceLinked="1"/>
        <c:tickLblPos val="nextTo"/>
        <c:spPr>
          <a:ln w="3175">
            <a:solidFill>
              <a:srgbClr val="000000"/>
            </a:solidFill>
            <a:prstDash val="solid"/>
          </a:ln>
        </c:spPr>
        <c:txPr>
          <a:bodyPr rot="-5400000" vert="horz"/>
          <a:lstStyle/>
          <a:p>
            <a:pPr>
              <a:defRPr sz="700" b="1" i="0" u="none" strike="noStrike" baseline="0">
                <a:solidFill>
                  <a:srgbClr val="000000"/>
                </a:solidFill>
                <a:latin typeface="Arial"/>
                <a:ea typeface="Arial"/>
                <a:cs typeface="Arial"/>
              </a:defRPr>
            </a:pPr>
            <a:endParaRPr lang="es-ES"/>
          </a:p>
        </c:txPr>
        <c:crossAx val="169590144"/>
        <c:crosses val="autoZero"/>
        <c:auto val="1"/>
        <c:lblAlgn val="ctr"/>
        <c:lblOffset val="100"/>
        <c:tickLblSkip val="1"/>
        <c:tickMarkSkip val="1"/>
      </c:catAx>
      <c:valAx>
        <c:axId val="169590144"/>
        <c:scaling>
          <c:orientation val="minMax"/>
          <c:max val="1.6"/>
          <c:min val="0"/>
        </c:scaling>
        <c:axPos val="l"/>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9588608"/>
        <c:crosses val="autoZero"/>
        <c:crossBetween val="between"/>
        <c:minorUnit val="0.1"/>
      </c:valAx>
      <c:spPr>
        <a:noFill/>
        <a:ln w="25400">
          <a:noFill/>
        </a:ln>
      </c:spPr>
    </c:plotArea>
    <c:legend>
      <c:legendPos val="r"/>
      <c:layout>
        <c:manualLayout>
          <c:xMode val="edge"/>
          <c:yMode val="edge"/>
          <c:x val="0.80175750793868572"/>
          <c:y val="0.22069947692567787"/>
          <c:w val="0.17956356935539741"/>
          <c:h val="0.70554778413820451"/>
        </c:manualLayout>
      </c:layout>
      <c:spPr>
        <a:solidFill>
          <a:srgbClr val="FFFFFF"/>
        </a:solidFill>
        <a:ln w="3175">
          <a:solidFill>
            <a:srgbClr val="000000"/>
          </a:solidFill>
          <a:prstDash val="solid"/>
        </a:ln>
      </c:spPr>
      <c:txPr>
        <a:bodyPr/>
        <a:lstStyle/>
        <a:p>
          <a:pPr>
            <a:defRPr sz="570"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chemeClr val="bg1"/>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0.14356444319285508"/>
          <c:y val="7.6271396846853107E-2"/>
          <c:w val="0.8069311807046573"/>
          <c:h val="0.42005491331237416"/>
        </c:manualLayout>
      </c:layout>
      <c:barChart>
        <c:barDir val="col"/>
        <c:grouping val="clustered"/>
        <c:ser>
          <c:idx val="0"/>
          <c:order val="0"/>
          <c:tx>
            <c:strRef>
              <c:f>IDICADORES!$M$8</c:f>
              <c:strCache>
                <c:ptCount val="1"/>
                <c:pt idx="0">
                  <c:v>CALIF RIESGO GENERAL ACTUAL</c:v>
                </c:pt>
              </c:strCache>
            </c:strRef>
          </c:tx>
          <c:spPr>
            <a:solidFill>
              <a:srgbClr val="FCF305"/>
            </a:solidFill>
            <a:ln w="12700">
              <a:solidFill>
                <a:srgbClr val="000000"/>
              </a:solidFill>
              <a:prstDash val="solid"/>
            </a:ln>
          </c:spPr>
          <c:dLbls>
            <c:dLbl>
              <c:idx val="0"/>
              <c:spPr>
                <a:noFill/>
                <a:ln w="25400">
                  <a:noFill/>
                </a:ln>
              </c:spPr>
              <c:txPr>
                <a:bodyPr/>
                <a:lstStyle/>
                <a:p>
                  <a:pPr>
                    <a:defRPr sz="975" b="1" i="0" u="none" strike="noStrike" baseline="0">
                      <a:solidFill>
                        <a:srgbClr val="000000"/>
                      </a:solidFill>
                      <a:latin typeface="Arial"/>
                      <a:ea typeface="Arial"/>
                      <a:cs typeface="Arial"/>
                    </a:defRPr>
                  </a:pPr>
                  <a:endParaRPr lang="es-ES"/>
                </a:p>
              </c:txPr>
            </c:dLbl>
            <c:spPr>
              <a:noFill/>
              <a:ln w="25400">
                <a:noFill/>
              </a:ln>
            </c:spPr>
            <c:txPr>
              <a:bodyPr/>
              <a:lstStyle/>
              <a:p>
                <a:pPr>
                  <a:defRPr sz="950" b="1" i="0" u="none" strike="noStrike" baseline="0">
                    <a:solidFill>
                      <a:srgbClr val="000000"/>
                    </a:solidFill>
                    <a:latin typeface="Arial"/>
                    <a:ea typeface="Arial"/>
                    <a:cs typeface="Arial"/>
                  </a:defRPr>
                </a:pPr>
                <a:endParaRPr lang="es-ES"/>
              </a:p>
            </c:txPr>
            <c:showVal val="1"/>
          </c:dLbls>
          <c:cat>
            <c:strRef>
              <c:f>IDICADORES!$N$7:$AD$7</c:f>
              <c:strCache>
                <c:ptCount val="12"/>
                <c:pt idx="0">
                  <c:v>ENE-JUNIO 2008</c:v>
                </c:pt>
                <c:pt idx="1">
                  <c:v>JUL-DIC 2008</c:v>
                </c:pt>
                <c:pt idx="2">
                  <c:v>ENE-JUNIO 2009</c:v>
                </c:pt>
                <c:pt idx="3">
                  <c:v>JUL-DIC 2009</c:v>
                </c:pt>
                <c:pt idx="4">
                  <c:v>ENE-JUNIO 2010</c:v>
                </c:pt>
                <c:pt idx="5">
                  <c:v>JUL-DIC 2010</c:v>
                </c:pt>
                <c:pt idx="6">
                  <c:v>ENE-JUNIO 201</c:v>
                </c:pt>
                <c:pt idx="7">
                  <c:v>JUL-DIC 2012</c:v>
                </c:pt>
                <c:pt idx="8">
                  <c:v>ENE-JUNIO 2013</c:v>
                </c:pt>
                <c:pt idx="9">
                  <c:v>JUL-DIC 2013</c:v>
                </c:pt>
                <c:pt idx="10">
                  <c:v>ENE-JUNIO 2014</c:v>
                </c:pt>
                <c:pt idx="11">
                  <c:v>JUL-DIC 2014</c:v>
                </c:pt>
              </c:strCache>
            </c:strRef>
          </c:cat>
          <c:val>
            <c:numRef>
              <c:f>IDICADORES!$N$8:$AD$8</c:f>
              <c:numCache>
                <c:formatCode>General</c:formatCode>
                <c:ptCount val="12"/>
                <c:pt idx="0">
                  <c:v>1025</c:v>
                </c:pt>
                <c:pt idx="1">
                  <c:v>1025</c:v>
                </c:pt>
                <c:pt idx="2">
                  <c:v>1610</c:v>
                </c:pt>
                <c:pt idx="3">
                  <c:v>1820</c:v>
                </c:pt>
                <c:pt idx="4">
                  <c:v>2270</c:v>
                </c:pt>
                <c:pt idx="5">
                  <c:v>2270</c:v>
                </c:pt>
                <c:pt idx="6">
                  <c:v>2270</c:v>
                </c:pt>
                <c:pt idx="7">
                  <c:v>2270</c:v>
                </c:pt>
                <c:pt idx="8">
                  <c:v>2270</c:v>
                </c:pt>
                <c:pt idx="9">
                  <c:v>2330</c:v>
                </c:pt>
                <c:pt idx="10">
                  <c:v>2440</c:v>
                </c:pt>
                <c:pt idx="11">
                  <c:v>2440</c:v>
                </c:pt>
              </c:numCache>
            </c:numRef>
          </c:val>
        </c:ser>
        <c:ser>
          <c:idx val="1"/>
          <c:order val="1"/>
          <c:tx>
            <c:strRef>
              <c:f>IDICADORES!$M$9</c:f>
              <c:strCache>
                <c:ptCount val="1"/>
                <c:pt idx="0">
                  <c:v>VALORACION RIESGO GENERAL</c:v>
                </c:pt>
              </c:strCache>
            </c:strRef>
          </c:tx>
          <c:spPr>
            <a:solidFill>
              <a:srgbClr val="006411"/>
            </a:solidFill>
            <a:ln w="12700">
              <a:solidFill>
                <a:srgbClr val="000000"/>
              </a:solidFill>
              <a:prstDash val="solid"/>
            </a:ln>
          </c:spPr>
          <c:dLbls>
            <c:spPr>
              <a:noFill/>
              <a:ln w="25400">
                <a:noFill/>
              </a:ln>
            </c:spPr>
            <c:txPr>
              <a:bodyPr/>
              <a:lstStyle/>
              <a:p>
                <a:pPr>
                  <a:defRPr sz="975" b="1" i="0" u="none" strike="noStrike" baseline="0">
                    <a:solidFill>
                      <a:srgbClr val="000000"/>
                    </a:solidFill>
                    <a:latin typeface="Arial"/>
                    <a:ea typeface="Arial"/>
                    <a:cs typeface="Arial"/>
                  </a:defRPr>
                </a:pPr>
                <a:endParaRPr lang="es-ES"/>
              </a:p>
            </c:txPr>
            <c:showVal val="1"/>
          </c:dLbls>
          <c:trendline>
            <c:spPr>
              <a:ln w="12700">
                <a:solidFill>
                  <a:srgbClr val="000000"/>
                </a:solidFill>
                <a:prstDash val="solid"/>
              </a:ln>
            </c:spPr>
            <c:trendlineType val="linear"/>
          </c:trendline>
          <c:cat>
            <c:strRef>
              <c:f>IDICADORES!$N$7:$AD$7</c:f>
              <c:strCache>
                <c:ptCount val="12"/>
                <c:pt idx="0">
                  <c:v>ENE-JUNIO 2008</c:v>
                </c:pt>
                <c:pt idx="1">
                  <c:v>JUL-DIC 2008</c:v>
                </c:pt>
                <c:pt idx="2">
                  <c:v>ENE-JUNIO 2009</c:v>
                </c:pt>
                <c:pt idx="3">
                  <c:v>JUL-DIC 2009</c:v>
                </c:pt>
                <c:pt idx="4">
                  <c:v>ENE-JUNIO 2010</c:v>
                </c:pt>
                <c:pt idx="5">
                  <c:v>JUL-DIC 2010</c:v>
                </c:pt>
                <c:pt idx="6">
                  <c:v>ENE-JUNIO 201</c:v>
                </c:pt>
                <c:pt idx="7">
                  <c:v>JUL-DIC 2012</c:v>
                </c:pt>
                <c:pt idx="8">
                  <c:v>ENE-JUNIO 2013</c:v>
                </c:pt>
                <c:pt idx="9">
                  <c:v>JUL-DIC 2013</c:v>
                </c:pt>
                <c:pt idx="10">
                  <c:v>ENE-JUNIO 2014</c:v>
                </c:pt>
                <c:pt idx="11">
                  <c:v>JUL-DIC 2014</c:v>
                </c:pt>
              </c:strCache>
            </c:strRef>
          </c:cat>
          <c:val>
            <c:numRef>
              <c:f>IDICADORES!$N$9:$AD$9</c:f>
              <c:numCache>
                <c:formatCode>General</c:formatCode>
                <c:ptCount val="12"/>
                <c:pt idx="0">
                  <c:v>800</c:v>
                </c:pt>
                <c:pt idx="1">
                  <c:v>755</c:v>
                </c:pt>
                <c:pt idx="2">
                  <c:v>900</c:v>
                </c:pt>
                <c:pt idx="3">
                  <c:v>1020</c:v>
                </c:pt>
                <c:pt idx="4">
                  <c:v>1200</c:v>
                </c:pt>
                <c:pt idx="5">
                  <c:v>1200</c:v>
                </c:pt>
                <c:pt idx="6">
                  <c:v>1000</c:v>
                </c:pt>
                <c:pt idx="7">
                  <c:v>1000</c:v>
                </c:pt>
                <c:pt idx="8">
                  <c:v>1000</c:v>
                </c:pt>
                <c:pt idx="9">
                  <c:v>1030</c:v>
                </c:pt>
                <c:pt idx="10">
                  <c:v>1065</c:v>
                </c:pt>
                <c:pt idx="11">
                  <c:v>1065</c:v>
                </c:pt>
              </c:numCache>
            </c:numRef>
          </c:val>
        </c:ser>
        <c:axId val="169494784"/>
        <c:axId val="169521152"/>
      </c:barChart>
      <c:lineChart>
        <c:grouping val="standard"/>
        <c:ser>
          <c:idx val="2"/>
          <c:order val="2"/>
          <c:tx>
            <c:strRef>
              <c:f>IDICADORES!$M$10</c:f>
              <c:strCache>
                <c:ptCount val="1"/>
                <c:pt idx="0">
                  <c:v>RIESGO ACEPTABLE/TOLERABLE</c:v>
                </c:pt>
              </c:strCache>
            </c:strRef>
          </c:tx>
          <c:spPr>
            <a:ln w="25400">
              <a:solidFill>
                <a:srgbClr val="1FB714"/>
              </a:solidFill>
              <a:prstDash val="solid"/>
            </a:ln>
          </c:spPr>
          <c:marker>
            <c:symbol val="none"/>
          </c:marker>
          <c:cat>
            <c:strRef>
              <c:f>IDICADORES!$N$7:$AD$7</c:f>
              <c:strCache>
                <c:ptCount val="12"/>
                <c:pt idx="0">
                  <c:v>ENE-JUNIO 2008</c:v>
                </c:pt>
                <c:pt idx="1">
                  <c:v>JUL-DIC 2008</c:v>
                </c:pt>
                <c:pt idx="2">
                  <c:v>ENE-JUNIO 2009</c:v>
                </c:pt>
                <c:pt idx="3">
                  <c:v>JUL-DIC 2009</c:v>
                </c:pt>
                <c:pt idx="4">
                  <c:v>ENE-JUNIO 2010</c:v>
                </c:pt>
                <c:pt idx="5">
                  <c:v>JUL-DIC 2010</c:v>
                </c:pt>
                <c:pt idx="6">
                  <c:v>ENE-JUNIO 201</c:v>
                </c:pt>
                <c:pt idx="7">
                  <c:v>JUL-DIC 2012</c:v>
                </c:pt>
                <c:pt idx="8">
                  <c:v>ENE-JUNIO 2013</c:v>
                </c:pt>
                <c:pt idx="9">
                  <c:v>JUL-DIC 2013</c:v>
                </c:pt>
                <c:pt idx="10">
                  <c:v>ENE-JUNIO 2014</c:v>
                </c:pt>
                <c:pt idx="11">
                  <c:v>JUL-DIC 2014</c:v>
                </c:pt>
              </c:strCache>
            </c:strRef>
          </c:cat>
          <c:val>
            <c:numRef>
              <c:f>IDICADORES!$N$10:$AD$10</c:f>
              <c:numCache>
                <c:formatCode>General</c:formatCode>
                <c:ptCount val="12"/>
                <c:pt idx="0">
                  <c:v>370</c:v>
                </c:pt>
                <c:pt idx="1">
                  <c:v>370</c:v>
                </c:pt>
                <c:pt idx="2">
                  <c:v>650</c:v>
                </c:pt>
                <c:pt idx="3">
                  <c:v>740</c:v>
                </c:pt>
                <c:pt idx="4">
                  <c:v>900</c:v>
                </c:pt>
                <c:pt idx="5">
                  <c:v>900</c:v>
                </c:pt>
                <c:pt idx="6">
                  <c:v>900</c:v>
                </c:pt>
                <c:pt idx="7">
                  <c:v>900</c:v>
                </c:pt>
                <c:pt idx="8">
                  <c:v>900</c:v>
                </c:pt>
                <c:pt idx="9">
                  <c:v>910</c:v>
                </c:pt>
                <c:pt idx="10">
                  <c:v>920</c:v>
                </c:pt>
                <c:pt idx="11">
                  <c:v>920</c:v>
                </c:pt>
              </c:numCache>
            </c:numRef>
          </c:val>
        </c:ser>
        <c:ser>
          <c:idx val="3"/>
          <c:order val="3"/>
          <c:tx>
            <c:strRef>
              <c:f>IDICADORES!$M$11</c:f>
              <c:strCache>
                <c:ptCount val="1"/>
                <c:pt idx="0">
                  <c:v>RIESGO MODERADO</c:v>
                </c:pt>
              </c:strCache>
            </c:strRef>
          </c:tx>
          <c:spPr>
            <a:ln w="25400">
              <a:solidFill>
                <a:srgbClr val="FCF305"/>
              </a:solidFill>
              <a:prstDash val="solid"/>
            </a:ln>
          </c:spPr>
          <c:marker>
            <c:symbol val="none"/>
          </c:marker>
          <c:cat>
            <c:strRef>
              <c:f>IDICADORES!$N$7:$AD$7</c:f>
              <c:strCache>
                <c:ptCount val="12"/>
                <c:pt idx="0">
                  <c:v>ENE-JUNIO 2008</c:v>
                </c:pt>
                <c:pt idx="1">
                  <c:v>JUL-DIC 2008</c:v>
                </c:pt>
                <c:pt idx="2">
                  <c:v>ENE-JUNIO 2009</c:v>
                </c:pt>
                <c:pt idx="3">
                  <c:v>JUL-DIC 2009</c:v>
                </c:pt>
                <c:pt idx="4">
                  <c:v>ENE-JUNIO 2010</c:v>
                </c:pt>
                <c:pt idx="5">
                  <c:v>JUL-DIC 2010</c:v>
                </c:pt>
                <c:pt idx="6">
                  <c:v>ENE-JUNIO 201</c:v>
                </c:pt>
                <c:pt idx="7">
                  <c:v>JUL-DIC 2012</c:v>
                </c:pt>
                <c:pt idx="8">
                  <c:v>ENE-JUNIO 2013</c:v>
                </c:pt>
                <c:pt idx="9">
                  <c:v>JUL-DIC 2013</c:v>
                </c:pt>
                <c:pt idx="10">
                  <c:v>ENE-JUNIO 2014</c:v>
                </c:pt>
                <c:pt idx="11">
                  <c:v>JUL-DIC 2014</c:v>
                </c:pt>
              </c:strCache>
            </c:strRef>
          </c:cat>
          <c:val>
            <c:numRef>
              <c:f>IDICADORES!$N$11:$AD$11</c:f>
              <c:numCache>
                <c:formatCode>General</c:formatCode>
                <c:ptCount val="12"/>
                <c:pt idx="0">
                  <c:v>740</c:v>
                </c:pt>
                <c:pt idx="1">
                  <c:v>740</c:v>
                </c:pt>
                <c:pt idx="2">
                  <c:v>1300</c:v>
                </c:pt>
                <c:pt idx="3">
                  <c:v>1480</c:v>
                </c:pt>
                <c:pt idx="4">
                  <c:v>1800</c:v>
                </c:pt>
                <c:pt idx="5">
                  <c:v>1800</c:v>
                </c:pt>
                <c:pt idx="6">
                  <c:v>1800</c:v>
                </c:pt>
                <c:pt idx="7">
                  <c:v>1800</c:v>
                </c:pt>
                <c:pt idx="8">
                  <c:v>1800</c:v>
                </c:pt>
                <c:pt idx="9">
                  <c:v>1820</c:v>
                </c:pt>
                <c:pt idx="10">
                  <c:v>1840</c:v>
                </c:pt>
                <c:pt idx="11">
                  <c:v>1840</c:v>
                </c:pt>
              </c:numCache>
            </c:numRef>
          </c:val>
        </c:ser>
        <c:ser>
          <c:idx val="4"/>
          <c:order val="4"/>
          <c:tx>
            <c:strRef>
              <c:f>IDICADORES!$M$12</c:f>
              <c:strCache>
                <c:ptCount val="1"/>
                <c:pt idx="0">
                  <c:v>RIESGO IMPORTANTE</c:v>
                </c:pt>
              </c:strCache>
            </c:strRef>
          </c:tx>
          <c:spPr>
            <a:ln w="25400">
              <a:solidFill>
                <a:srgbClr val="FF6600"/>
              </a:solidFill>
              <a:prstDash val="solid"/>
            </a:ln>
          </c:spPr>
          <c:marker>
            <c:symbol val="none"/>
          </c:marker>
          <c:cat>
            <c:strRef>
              <c:f>IDICADORES!$N$7:$AD$7</c:f>
              <c:strCache>
                <c:ptCount val="12"/>
                <c:pt idx="0">
                  <c:v>ENE-JUNIO 2008</c:v>
                </c:pt>
                <c:pt idx="1">
                  <c:v>JUL-DIC 2008</c:v>
                </c:pt>
                <c:pt idx="2">
                  <c:v>ENE-JUNIO 2009</c:v>
                </c:pt>
                <c:pt idx="3">
                  <c:v>JUL-DIC 2009</c:v>
                </c:pt>
                <c:pt idx="4">
                  <c:v>ENE-JUNIO 2010</c:v>
                </c:pt>
                <c:pt idx="5">
                  <c:v>JUL-DIC 2010</c:v>
                </c:pt>
                <c:pt idx="6">
                  <c:v>ENE-JUNIO 201</c:v>
                </c:pt>
                <c:pt idx="7">
                  <c:v>JUL-DIC 2012</c:v>
                </c:pt>
                <c:pt idx="8">
                  <c:v>ENE-JUNIO 2013</c:v>
                </c:pt>
                <c:pt idx="9">
                  <c:v>JUL-DIC 2013</c:v>
                </c:pt>
                <c:pt idx="10">
                  <c:v>ENE-JUNIO 2014</c:v>
                </c:pt>
                <c:pt idx="11">
                  <c:v>JUL-DIC 2014</c:v>
                </c:pt>
              </c:strCache>
            </c:strRef>
          </c:cat>
          <c:val>
            <c:numRef>
              <c:f>IDICADORES!$N$12:$AD$12</c:f>
              <c:numCache>
                <c:formatCode>General</c:formatCode>
                <c:ptCount val="12"/>
                <c:pt idx="0">
                  <c:v>1480</c:v>
                </c:pt>
                <c:pt idx="1">
                  <c:v>1480</c:v>
                </c:pt>
                <c:pt idx="2">
                  <c:v>2600</c:v>
                </c:pt>
                <c:pt idx="3">
                  <c:v>2960</c:v>
                </c:pt>
                <c:pt idx="4">
                  <c:v>3600</c:v>
                </c:pt>
                <c:pt idx="5">
                  <c:v>3600</c:v>
                </c:pt>
                <c:pt idx="6">
                  <c:v>3600</c:v>
                </c:pt>
                <c:pt idx="7">
                  <c:v>3600</c:v>
                </c:pt>
                <c:pt idx="8">
                  <c:v>3600</c:v>
                </c:pt>
                <c:pt idx="9">
                  <c:v>3640</c:v>
                </c:pt>
                <c:pt idx="10">
                  <c:v>3680</c:v>
                </c:pt>
                <c:pt idx="11">
                  <c:v>3680</c:v>
                </c:pt>
              </c:numCache>
            </c:numRef>
          </c:val>
        </c:ser>
        <c:ser>
          <c:idx val="5"/>
          <c:order val="5"/>
          <c:tx>
            <c:strRef>
              <c:f>IDICADORES!$M$13</c:f>
              <c:strCache>
                <c:ptCount val="1"/>
                <c:pt idx="0">
                  <c:v>RIESGO INACEPTABLE</c:v>
                </c:pt>
              </c:strCache>
            </c:strRef>
          </c:tx>
          <c:spPr>
            <a:ln w="25400">
              <a:solidFill>
                <a:srgbClr val="DD0806"/>
              </a:solidFill>
              <a:prstDash val="solid"/>
            </a:ln>
          </c:spPr>
          <c:marker>
            <c:symbol val="none"/>
          </c:marker>
          <c:cat>
            <c:strRef>
              <c:f>IDICADORES!$N$7:$AD$7</c:f>
              <c:strCache>
                <c:ptCount val="12"/>
                <c:pt idx="0">
                  <c:v>ENE-JUNIO 2008</c:v>
                </c:pt>
                <c:pt idx="1">
                  <c:v>JUL-DIC 2008</c:v>
                </c:pt>
                <c:pt idx="2">
                  <c:v>ENE-JUNIO 2009</c:v>
                </c:pt>
                <c:pt idx="3">
                  <c:v>JUL-DIC 2009</c:v>
                </c:pt>
                <c:pt idx="4">
                  <c:v>ENE-JUNIO 2010</c:v>
                </c:pt>
                <c:pt idx="5">
                  <c:v>JUL-DIC 2010</c:v>
                </c:pt>
                <c:pt idx="6">
                  <c:v>ENE-JUNIO 201</c:v>
                </c:pt>
                <c:pt idx="7">
                  <c:v>JUL-DIC 2012</c:v>
                </c:pt>
                <c:pt idx="8">
                  <c:v>ENE-JUNIO 2013</c:v>
                </c:pt>
                <c:pt idx="9">
                  <c:v>JUL-DIC 2013</c:v>
                </c:pt>
                <c:pt idx="10">
                  <c:v>ENE-JUNIO 2014</c:v>
                </c:pt>
                <c:pt idx="11">
                  <c:v>JUL-DIC 2014</c:v>
                </c:pt>
              </c:strCache>
            </c:strRef>
          </c:cat>
          <c:val>
            <c:numRef>
              <c:f>IDICADORES!$N$13:$AD$13</c:f>
              <c:numCache>
                <c:formatCode>General</c:formatCode>
                <c:ptCount val="12"/>
                <c:pt idx="0">
                  <c:v>2220</c:v>
                </c:pt>
                <c:pt idx="1">
                  <c:v>2220</c:v>
                </c:pt>
                <c:pt idx="2">
                  <c:v>3900</c:v>
                </c:pt>
                <c:pt idx="3">
                  <c:v>4440</c:v>
                </c:pt>
                <c:pt idx="4">
                  <c:v>5400</c:v>
                </c:pt>
                <c:pt idx="5">
                  <c:v>5400</c:v>
                </c:pt>
                <c:pt idx="6">
                  <c:v>5400</c:v>
                </c:pt>
                <c:pt idx="7">
                  <c:v>5400</c:v>
                </c:pt>
                <c:pt idx="8">
                  <c:v>5400</c:v>
                </c:pt>
                <c:pt idx="9">
                  <c:v>5460</c:v>
                </c:pt>
                <c:pt idx="10">
                  <c:v>5520</c:v>
                </c:pt>
                <c:pt idx="11">
                  <c:v>5520</c:v>
                </c:pt>
              </c:numCache>
            </c:numRef>
          </c:val>
        </c:ser>
        <c:ser>
          <c:idx val="6"/>
          <c:order val="6"/>
          <c:tx>
            <c:strRef>
              <c:f>IDICADORES!$M$14</c:f>
              <c:strCache>
                <c:ptCount val="1"/>
                <c:pt idx="0">
                  <c:v>% MEJORA RIEGOS</c:v>
                </c:pt>
              </c:strCache>
            </c:strRef>
          </c:tx>
          <c:spPr>
            <a:ln w="25400">
              <a:solidFill>
                <a:srgbClr val="9999FF"/>
              </a:solidFill>
              <a:prstDash val="solid"/>
            </a:ln>
          </c:spPr>
          <c:marker>
            <c:symbol val="none"/>
          </c:marker>
          <c:cat>
            <c:strRef>
              <c:f>IDICADORES!$N$7:$AD$7</c:f>
              <c:strCache>
                <c:ptCount val="12"/>
                <c:pt idx="0">
                  <c:v>ENE-JUNIO 2008</c:v>
                </c:pt>
                <c:pt idx="1">
                  <c:v>JUL-DIC 2008</c:v>
                </c:pt>
                <c:pt idx="2">
                  <c:v>ENE-JUNIO 2009</c:v>
                </c:pt>
                <c:pt idx="3">
                  <c:v>JUL-DIC 2009</c:v>
                </c:pt>
                <c:pt idx="4">
                  <c:v>ENE-JUNIO 2010</c:v>
                </c:pt>
                <c:pt idx="5">
                  <c:v>JUL-DIC 2010</c:v>
                </c:pt>
                <c:pt idx="6">
                  <c:v>ENE-JUNIO 201</c:v>
                </c:pt>
                <c:pt idx="7">
                  <c:v>JUL-DIC 2012</c:v>
                </c:pt>
                <c:pt idx="8">
                  <c:v>ENE-JUNIO 2013</c:v>
                </c:pt>
                <c:pt idx="9">
                  <c:v>JUL-DIC 2013</c:v>
                </c:pt>
                <c:pt idx="10">
                  <c:v>ENE-JUNIO 2014</c:v>
                </c:pt>
                <c:pt idx="11">
                  <c:v>JUL-DIC 2014</c:v>
                </c:pt>
              </c:strCache>
            </c:strRef>
          </c:cat>
          <c:val>
            <c:numRef>
              <c:f>IDICADORES!$N$14:$AD$14</c:f>
              <c:numCache>
                <c:formatCode>0%</c:formatCode>
                <c:ptCount val="12"/>
                <c:pt idx="1">
                  <c:v>0.26341463414634131</c:v>
                </c:pt>
                <c:pt idx="2">
                  <c:v>0.44099378881987716</c:v>
                </c:pt>
                <c:pt idx="3">
                  <c:v>0.43989071038251604</c:v>
                </c:pt>
                <c:pt idx="4">
                  <c:v>0.47136563876651999</c:v>
                </c:pt>
                <c:pt idx="5">
                  <c:v>0.47136563876651999</c:v>
                </c:pt>
                <c:pt idx="6">
                  <c:v>0.55947136563876698</c:v>
                </c:pt>
                <c:pt idx="7">
                  <c:v>0.55947136563876698</c:v>
                </c:pt>
                <c:pt idx="8">
                  <c:v>0.55947136563876698</c:v>
                </c:pt>
                <c:pt idx="9">
                  <c:v>0.55793991416309374</c:v>
                </c:pt>
                <c:pt idx="10">
                  <c:v>0.56352459016393397</c:v>
                </c:pt>
                <c:pt idx="11">
                  <c:v>0.56352459016393397</c:v>
                </c:pt>
              </c:numCache>
            </c:numRef>
          </c:val>
        </c:ser>
        <c:marker val="1"/>
        <c:axId val="169494784"/>
        <c:axId val="169521152"/>
      </c:lineChart>
      <c:catAx>
        <c:axId val="169494784"/>
        <c:scaling>
          <c:orientation val="minMax"/>
        </c:scaling>
        <c:axPos val="b"/>
        <c:numFmt formatCode="mmm\-yy" sourceLinked="1"/>
        <c:tickLblPos val="nextTo"/>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s-ES"/>
          </a:p>
        </c:txPr>
        <c:crossAx val="169521152"/>
        <c:crosses val="autoZero"/>
        <c:auto val="1"/>
        <c:lblAlgn val="ctr"/>
        <c:lblOffset val="100"/>
        <c:tickLblSkip val="1"/>
        <c:tickMarkSkip val="1"/>
      </c:catAx>
      <c:valAx>
        <c:axId val="169521152"/>
        <c:scaling>
          <c:orientation val="minMax"/>
        </c:scaling>
        <c:axPos val="l"/>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169494784"/>
        <c:crosses val="autoZero"/>
        <c:crossBetween val="between"/>
      </c:valAx>
      <c:spPr>
        <a:noFill/>
        <a:ln w="25400">
          <a:noFill/>
        </a:ln>
      </c:spPr>
    </c:plotArea>
    <c:legend>
      <c:legendPos val="r"/>
      <c:layout>
        <c:manualLayout>
          <c:xMode val="edge"/>
          <c:yMode val="edge"/>
          <c:x val="0.11737804878048802"/>
          <c:y val="0.83199918750079604"/>
          <c:w val="0.72408536585365757"/>
          <c:h val="0.15599984765640043"/>
        </c:manualLayout>
      </c:layout>
      <c:spPr>
        <a:solidFill>
          <a:srgbClr val="FFFFFF"/>
        </a:solidFill>
        <a:ln w="3175">
          <a:solidFill>
            <a:srgbClr val="000000"/>
          </a:solidFill>
          <a:prstDash val="solid"/>
        </a:ln>
      </c:spPr>
      <c:txPr>
        <a:bodyPr/>
        <a:lstStyle/>
        <a:p>
          <a:pPr>
            <a:defRPr sz="67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9.2198794415804183E-2"/>
          <c:y val="0.10495641763338398"/>
          <c:w val="0.79196400331524097"/>
          <c:h val="0.61807668161882068"/>
        </c:manualLayout>
      </c:layout>
      <c:barChart>
        <c:barDir val="col"/>
        <c:grouping val="clustered"/>
        <c:ser>
          <c:idx val="1"/>
          <c:order val="0"/>
          <c:tx>
            <c:strRef>
              <c:f>'MAPA 2015'!$K$123</c:f>
              <c:strCache>
                <c:ptCount val="1"/>
                <c:pt idx="0">
                  <c:v>CANT RIESGOS</c:v>
                </c:pt>
              </c:strCache>
            </c:strRef>
          </c:tx>
          <c:spPr>
            <a:solidFill>
              <a:srgbClr val="993366"/>
            </a:solidFill>
            <a:ln w="12700">
              <a:solidFill>
                <a:srgbClr val="000000"/>
              </a:solidFill>
              <a:prstDash val="solid"/>
            </a:ln>
          </c:spPr>
          <c:dPt>
            <c:idx val="0"/>
            <c:spPr>
              <a:solidFill>
                <a:srgbClr val="1FB714"/>
              </a:solidFill>
              <a:ln w="12700">
                <a:solidFill>
                  <a:srgbClr val="000000"/>
                </a:solidFill>
                <a:prstDash val="solid"/>
              </a:ln>
            </c:spPr>
          </c:dPt>
          <c:dPt>
            <c:idx val="1"/>
            <c:spPr>
              <a:solidFill>
                <a:srgbClr val="1FB714"/>
              </a:solidFill>
              <a:ln w="12700">
                <a:solidFill>
                  <a:srgbClr val="000000"/>
                </a:solidFill>
                <a:prstDash val="solid"/>
              </a:ln>
            </c:spPr>
          </c:dPt>
          <c:dPt>
            <c:idx val="2"/>
            <c:spPr>
              <a:solidFill>
                <a:srgbClr val="FCF305"/>
              </a:solidFill>
              <a:ln w="12700">
                <a:solidFill>
                  <a:srgbClr val="000000"/>
                </a:solidFill>
                <a:prstDash val="solid"/>
              </a:ln>
            </c:spPr>
          </c:dPt>
          <c:dPt>
            <c:idx val="3"/>
            <c:spPr>
              <a:solidFill>
                <a:srgbClr val="FF9900"/>
              </a:solidFill>
              <a:ln w="12700">
                <a:solidFill>
                  <a:srgbClr val="000000"/>
                </a:solidFill>
                <a:prstDash val="solid"/>
              </a:ln>
            </c:spPr>
          </c:dPt>
          <c:dPt>
            <c:idx val="4"/>
            <c:spPr>
              <a:solidFill>
                <a:srgbClr val="DD0806"/>
              </a:solidFill>
              <a:ln w="12700">
                <a:solidFill>
                  <a:srgbClr val="000000"/>
                </a:solidFill>
                <a:prstDash val="solid"/>
              </a:ln>
            </c:spPr>
          </c:dPt>
          <c:dLbls>
            <c:dLbl>
              <c:idx val="2"/>
              <c:layout>
                <c:manualLayout>
                  <c:x val="-5.8691942866848E-2"/>
                  <c:y val="3.1079032106054696E-2"/>
                </c:manualLayout>
              </c:layout>
              <c:dLblPos val="outEnd"/>
              <c:showVal val="1"/>
            </c:dLbl>
            <c:dLbl>
              <c:idx val="3"/>
              <c:layout>
                <c:manualLayout>
                  <c:x val="4.29630074387225E-2"/>
                  <c:y val="-1.6280881524796901E-2"/>
                </c:manualLayout>
              </c:layout>
              <c:dLblPos val="outEnd"/>
              <c:showVal val="1"/>
            </c:dLbl>
            <c:dLbl>
              <c:idx val="4"/>
              <c:layout>
                <c:manualLayout>
                  <c:x val="1.6162388788360883E-2"/>
                  <c:y val="-8.9600532826757794E-3"/>
                </c:manualLayout>
              </c:layout>
              <c:dLblPos val="outEnd"/>
              <c:showVal val="1"/>
            </c:dLbl>
            <c:spPr>
              <a:noFill/>
              <a:ln w="25400">
                <a:noFill/>
              </a:ln>
            </c:spPr>
            <c:txPr>
              <a:bodyPr/>
              <a:lstStyle/>
              <a:p>
                <a:pPr>
                  <a:defRPr sz="900" b="1" i="0" u="none" strike="noStrike" baseline="0">
                    <a:solidFill>
                      <a:srgbClr val="000000"/>
                    </a:solidFill>
                    <a:latin typeface="Arial"/>
                    <a:ea typeface="Arial"/>
                    <a:cs typeface="Arial"/>
                  </a:defRPr>
                </a:pPr>
                <a:endParaRPr lang="es-ES"/>
              </a:p>
            </c:txPr>
            <c:showVal val="1"/>
          </c:dLbls>
          <c:cat>
            <c:strRef>
              <c:f>'MAPA 2015'!$J$124:$J$128</c:f>
              <c:strCache>
                <c:ptCount val="5"/>
                <c:pt idx="0">
                  <c:v>RIESGOS ACEPTABLES</c:v>
                </c:pt>
                <c:pt idx="1">
                  <c:v>RIESGOS TOLERABLES</c:v>
                </c:pt>
                <c:pt idx="2">
                  <c:v>RIESGOS MODERADOS</c:v>
                </c:pt>
                <c:pt idx="3">
                  <c:v>RIESGOS IMPORTANTES</c:v>
                </c:pt>
                <c:pt idx="4">
                  <c:v>RIESGOS INACEPTABLES</c:v>
                </c:pt>
              </c:strCache>
            </c:strRef>
          </c:cat>
          <c:val>
            <c:numRef>
              <c:f>'MAPA 2015'!$K$124:$K$128</c:f>
              <c:numCache>
                <c:formatCode>General</c:formatCode>
                <c:ptCount val="5"/>
                <c:pt idx="0">
                  <c:v>2</c:v>
                </c:pt>
                <c:pt idx="1">
                  <c:v>13</c:v>
                </c:pt>
                <c:pt idx="2">
                  <c:v>42</c:v>
                </c:pt>
                <c:pt idx="3">
                  <c:v>29</c:v>
                </c:pt>
                <c:pt idx="4">
                  <c:v>6</c:v>
                </c:pt>
              </c:numCache>
            </c:numRef>
          </c:val>
        </c:ser>
        <c:axId val="169631744"/>
        <c:axId val="169633280"/>
      </c:barChart>
      <c:lineChart>
        <c:grouping val="standard"/>
        <c:ser>
          <c:idx val="0"/>
          <c:order val="1"/>
          <c:tx>
            <c:strRef>
              <c:f>'MAPA 2015'!$L$123</c:f>
              <c:strCache>
                <c:ptCount val="1"/>
                <c:pt idx="0">
                  <c:v>% TIPO RIESGO</c:v>
                </c:pt>
              </c:strCache>
            </c:strRef>
          </c:tx>
          <c:spPr>
            <a:ln w="38100">
              <a:solidFill>
                <a:srgbClr val="000090"/>
              </a:solidFill>
              <a:prstDash val="solid"/>
            </a:ln>
          </c:spPr>
          <c:marker>
            <c:symbol val="diamond"/>
            <c:size val="9"/>
            <c:spPr>
              <a:solidFill>
                <a:srgbClr val="000090"/>
              </a:solidFill>
              <a:ln>
                <a:solidFill>
                  <a:srgbClr val="000090"/>
                </a:solidFill>
                <a:prstDash val="solid"/>
              </a:ln>
            </c:spPr>
          </c:marker>
          <c:dLbls>
            <c:dLbl>
              <c:idx val="0"/>
              <c:layout>
                <c:manualLayout>
                  <c:x val="-5.3191534185559407E-2"/>
                  <c:y val="-0.10694195359134"/>
                </c:manualLayout>
              </c:layout>
              <c:dLblPos val="r"/>
              <c:showVal val="1"/>
            </c:dLbl>
            <c:dLbl>
              <c:idx val="1"/>
              <c:layout>
                <c:manualLayout>
                  <c:x val="-0.10756531289135"/>
                  <c:y val="-0.111217884338909"/>
                </c:manualLayout>
              </c:layout>
              <c:dLblPos val="r"/>
              <c:showVal val="1"/>
            </c:dLbl>
            <c:dLbl>
              <c:idx val="2"/>
              <c:layout>
                <c:manualLayout>
                  <c:x val="5.0827605250641027E-2"/>
                  <c:y val="-2.4013391960304012E-2"/>
                </c:manualLayout>
              </c:layout>
              <c:dLblPos val="r"/>
              <c:showVal val="1"/>
            </c:dLbl>
            <c:dLbl>
              <c:idx val="3"/>
              <c:layout>
                <c:manualLayout>
                  <c:x val="-4.3735143337908011E-2"/>
                  <c:y val="-0.10927423418098979"/>
                </c:manualLayout>
              </c:layout>
              <c:dLblPos val="r"/>
              <c:showVal val="1"/>
            </c:dLbl>
            <c:dLbl>
              <c:idx val="4"/>
              <c:layout>
                <c:manualLayout>
                  <c:x val="-4.6099345706578296E-2"/>
                  <c:y val="-0.14276979057407396"/>
                </c:manualLayout>
              </c:layout>
              <c:dLblPos val="r"/>
              <c:showVal val="1"/>
            </c:dLbl>
            <c:spPr>
              <a:noFill/>
              <a:ln w="25400">
                <a:noFill/>
              </a:ln>
            </c:spPr>
            <c:txPr>
              <a:bodyPr/>
              <a:lstStyle/>
              <a:p>
                <a:pPr>
                  <a:defRPr sz="900" b="1" i="0" u="none" strike="noStrike" baseline="0">
                    <a:solidFill>
                      <a:srgbClr val="000090"/>
                    </a:solidFill>
                    <a:latin typeface="Arial"/>
                    <a:ea typeface="Arial"/>
                    <a:cs typeface="Arial"/>
                  </a:defRPr>
                </a:pPr>
                <a:endParaRPr lang="es-ES"/>
              </a:p>
            </c:txPr>
            <c:showVal val="1"/>
          </c:dLbls>
          <c:cat>
            <c:strRef>
              <c:f>'MAPA 2015'!$J$124:$J$128</c:f>
              <c:strCache>
                <c:ptCount val="5"/>
                <c:pt idx="0">
                  <c:v>RIESGOS ACEPTABLES</c:v>
                </c:pt>
                <c:pt idx="1">
                  <c:v>RIESGOS TOLERABLES</c:v>
                </c:pt>
                <c:pt idx="2">
                  <c:v>RIESGOS MODERADOS</c:v>
                </c:pt>
                <c:pt idx="3">
                  <c:v>RIESGOS IMPORTANTES</c:v>
                </c:pt>
                <c:pt idx="4">
                  <c:v>RIESGOS INACEPTABLES</c:v>
                </c:pt>
              </c:strCache>
            </c:strRef>
          </c:cat>
          <c:val>
            <c:numRef>
              <c:f>'MAPA 2015'!$L$124:$L$128</c:f>
              <c:numCache>
                <c:formatCode>0.00%</c:formatCode>
                <c:ptCount val="5"/>
                <c:pt idx="0">
                  <c:v>2.1739130434782601E-2</c:v>
                </c:pt>
                <c:pt idx="1">
                  <c:v>0.14130434782608761</c:v>
                </c:pt>
                <c:pt idx="2">
                  <c:v>0.45652173913043531</c:v>
                </c:pt>
                <c:pt idx="3">
                  <c:v>0.31521739130435061</c:v>
                </c:pt>
                <c:pt idx="4">
                  <c:v>6.5217391304347824E-2</c:v>
                </c:pt>
              </c:numCache>
            </c:numRef>
          </c:val>
          <c:smooth val="1"/>
        </c:ser>
        <c:marker val="1"/>
        <c:axId val="169634816"/>
        <c:axId val="169648896"/>
      </c:lineChart>
      <c:catAx>
        <c:axId val="169631744"/>
        <c:scaling>
          <c:orientation val="minMax"/>
        </c:scaling>
        <c:axPos val="b"/>
        <c:numFmt formatCode="General" sourceLinked="1"/>
        <c:majorTickMark val="cross"/>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9633280"/>
        <c:crosses val="autoZero"/>
        <c:lblAlgn val="ctr"/>
        <c:lblOffset val="100"/>
        <c:tickLblSkip val="1"/>
        <c:tickMarkSkip val="1"/>
      </c:catAx>
      <c:valAx>
        <c:axId val="169633280"/>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169631744"/>
        <c:crosses val="autoZero"/>
        <c:crossBetween val="between"/>
      </c:valAx>
      <c:catAx>
        <c:axId val="169634816"/>
        <c:scaling>
          <c:orientation val="minMax"/>
        </c:scaling>
        <c:delete val="1"/>
        <c:axPos val="b"/>
        <c:tickLblPos val="none"/>
        <c:crossAx val="169648896"/>
        <c:crosses val="autoZero"/>
        <c:lblAlgn val="ctr"/>
        <c:lblOffset val="100"/>
      </c:catAx>
      <c:valAx>
        <c:axId val="169648896"/>
        <c:scaling>
          <c:orientation val="minMax"/>
        </c:scaling>
        <c:axPos val="r"/>
        <c:numFmt formatCode="0%" sourceLinked="0"/>
        <c:majorTickMark val="cross"/>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s-ES"/>
          </a:p>
        </c:txPr>
        <c:crossAx val="169634816"/>
        <c:crosses val="max"/>
        <c:crossBetween val="between"/>
      </c:valAx>
      <c:spPr>
        <a:noFill/>
        <a:ln w="25400">
          <a:noFill/>
        </a:ln>
      </c:spPr>
    </c:plotArea>
    <c:legend>
      <c:legendPos val="r"/>
      <c:layout>
        <c:manualLayout>
          <c:xMode val="edge"/>
          <c:yMode val="edge"/>
          <c:x val="0.14534868247593896"/>
          <c:y val="2.4793388429752213E-2"/>
          <c:w val="0.42732512647925952"/>
          <c:h val="8.6776859504132248E-2"/>
        </c:manualLayout>
      </c:layout>
      <c:spPr>
        <a:solidFill>
          <a:srgbClr val="FFFFFF"/>
        </a:solidFill>
        <a:ln w="25400">
          <a:noFill/>
        </a:ln>
      </c:spPr>
      <c:txPr>
        <a:bodyPr/>
        <a:lstStyle/>
        <a:p>
          <a:pPr>
            <a:defRPr sz="82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7.2289324299578794E-2"/>
          <c:y val="0.10285714285714298"/>
          <c:w val="0.81071842763840962"/>
          <c:h val="0.56960629921259864"/>
        </c:manualLayout>
      </c:layout>
      <c:barChart>
        <c:barDir val="col"/>
        <c:grouping val="clustered"/>
        <c:ser>
          <c:idx val="1"/>
          <c:order val="0"/>
          <c:tx>
            <c:strRef>
              <c:f>'MAPA 2015'!$O$123</c:f>
              <c:strCache>
                <c:ptCount val="1"/>
                <c:pt idx="0">
                  <c:v>CANT. RIESGOS</c:v>
                </c:pt>
              </c:strCache>
            </c:strRef>
          </c:tx>
          <c:spPr>
            <a:solidFill>
              <a:srgbClr val="993366"/>
            </a:solidFill>
            <a:ln w="12700">
              <a:solidFill>
                <a:srgbClr val="000000"/>
              </a:solidFill>
              <a:prstDash val="solid"/>
            </a:ln>
          </c:spPr>
          <c:dPt>
            <c:idx val="0"/>
            <c:spPr>
              <a:solidFill>
                <a:srgbClr val="1FB714"/>
              </a:solidFill>
              <a:ln w="12700">
                <a:solidFill>
                  <a:srgbClr val="000000"/>
                </a:solidFill>
                <a:prstDash val="solid"/>
              </a:ln>
            </c:spPr>
          </c:dPt>
          <c:dPt>
            <c:idx val="1"/>
            <c:spPr>
              <a:solidFill>
                <a:srgbClr val="1FB714"/>
              </a:solidFill>
              <a:ln w="12700">
                <a:solidFill>
                  <a:srgbClr val="000000"/>
                </a:solidFill>
                <a:prstDash val="solid"/>
              </a:ln>
            </c:spPr>
          </c:dPt>
          <c:dPt>
            <c:idx val="2"/>
            <c:spPr>
              <a:solidFill>
                <a:srgbClr val="FCF305"/>
              </a:solidFill>
              <a:ln w="12700">
                <a:solidFill>
                  <a:srgbClr val="000000"/>
                </a:solidFill>
                <a:prstDash val="solid"/>
              </a:ln>
            </c:spPr>
          </c:dPt>
          <c:dPt>
            <c:idx val="3"/>
            <c:spPr>
              <a:solidFill>
                <a:srgbClr val="FF9900"/>
              </a:solidFill>
              <a:ln w="12700">
                <a:solidFill>
                  <a:srgbClr val="000000"/>
                </a:solidFill>
                <a:prstDash val="solid"/>
              </a:ln>
            </c:spPr>
          </c:dPt>
          <c:dPt>
            <c:idx val="4"/>
            <c:spPr>
              <a:solidFill>
                <a:srgbClr val="DD0806"/>
              </a:solidFill>
              <a:ln w="12700">
                <a:solidFill>
                  <a:srgbClr val="000000"/>
                </a:solidFill>
                <a:prstDash val="solid"/>
              </a:ln>
            </c:spPr>
          </c:dPt>
          <c:dLbls>
            <c:dLbl>
              <c:idx val="1"/>
              <c:layout>
                <c:manualLayout>
                  <c:x val="-2.7906976744186011E-2"/>
                  <c:y val="-3.8095238095238099E-2"/>
                </c:manualLayout>
              </c:layout>
              <c:dLblPos val="outEnd"/>
              <c:showVal val="1"/>
            </c:dLbl>
            <c:spPr>
              <a:noFill/>
              <a:ln w="25400">
                <a:noFill/>
              </a:ln>
            </c:spPr>
            <c:txPr>
              <a:bodyPr/>
              <a:lstStyle/>
              <a:p>
                <a:pPr>
                  <a:defRPr sz="900" b="1" i="0" u="none" strike="noStrike" baseline="0">
                    <a:solidFill>
                      <a:srgbClr val="000000"/>
                    </a:solidFill>
                    <a:latin typeface="Arial"/>
                    <a:ea typeface="Arial"/>
                    <a:cs typeface="Arial"/>
                  </a:defRPr>
                </a:pPr>
                <a:endParaRPr lang="es-ES"/>
              </a:p>
            </c:txPr>
            <c:showVal val="1"/>
          </c:dLbls>
          <c:cat>
            <c:strRef>
              <c:f>'MAPA 2015'!$J$124:$J$128</c:f>
              <c:strCache>
                <c:ptCount val="5"/>
                <c:pt idx="0">
                  <c:v>RIESGOS ACEPTABLES</c:v>
                </c:pt>
                <c:pt idx="1">
                  <c:v>RIESGOS TOLERABLES</c:v>
                </c:pt>
                <c:pt idx="2">
                  <c:v>RIESGOS MODERADOS</c:v>
                </c:pt>
                <c:pt idx="3">
                  <c:v>RIESGOS IMPORTANTES</c:v>
                </c:pt>
                <c:pt idx="4">
                  <c:v>RIESGOS INACEPTABLES</c:v>
                </c:pt>
              </c:strCache>
            </c:strRef>
          </c:cat>
          <c:val>
            <c:numRef>
              <c:f>'MAPA 2015'!$O$124:$O$128</c:f>
              <c:numCache>
                <c:formatCode>General</c:formatCode>
                <c:ptCount val="5"/>
                <c:pt idx="0">
                  <c:v>25</c:v>
                </c:pt>
                <c:pt idx="1">
                  <c:v>44</c:v>
                </c:pt>
                <c:pt idx="2">
                  <c:v>19</c:v>
                </c:pt>
                <c:pt idx="3">
                  <c:v>4</c:v>
                </c:pt>
                <c:pt idx="4">
                  <c:v>0</c:v>
                </c:pt>
              </c:numCache>
            </c:numRef>
          </c:val>
        </c:ser>
        <c:axId val="169833984"/>
        <c:axId val="169835904"/>
      </c:barChart>
      <c:lineChart>
        <c:grouping val="standard"/>
        <c:ser>
          <c:idx val="0"/>
          <c:order val="1"/>
          <c:tx>
            <c:strRef>
              <c:f>'MAPA 2015'!$P$123</c:f>
              <c:strCache>
                <c:ptCount val="1"/>
                <c:pt idx="0">
                  <c:v>% TIPO RIESGO</c:v>
                </c:pt>
              </c:strCache>
            </c:strRef>
          </c:tx>
          <c:spPr>
            <a:ln w="38100">
              <a:solidFill>
                <a:srgbClr val="000090"/>
              </a:solidFill>
              <a:prstDash val="solid"/>
            </a:ln>
          </c:spPr>
          <c:marker>
            <c:symbol val="diamond"/>
            <c:size val="9"/>
            <c:spPr>
              <a:solidFill>
                <a:srgbClr val="000090"/>
              </a:solidFill>
              <a:ln>
                <a:solidFill>
                  <a:srgbClr val="000090"/>
                </a:solidFill>
                <a:prstDash val="solid"/>
              </a:ln>
            </c:spPr>
          </c:marker>
          <c:dLbls>
            <c:dLbl>
              <c:idx val="0"/>
              <c:layout>
                <c:manualLayout>
                  <c:x val="-5.7890345721160905E-2"/>
                  <c:y val="-0.15987881514810601"/>
                </c:manualLayout>
              </c:layout>
              <c:dLblPos val="r"/>
              <c:showVal val="1"/>
            </c:dLbl>
            <c:dLbl>
              <c:idx val="1"/>
              <c:layout>
                <c:manualLayout>
                  <c:x val="-7.8975767563938218E-2"/>
                  <c:y val="-0.53522999625046963"/>
                </c:manualLayout>
              </c:layout>
              <c:dLblPos val="r"/>
              <c:showVal val="1"/>
            </c:dLbl>
            <c:dLbl>
              <c:idx val="2"/>
              <c:layout>
                <c:manualLayout>
                  <c:x val="-6.9053276145799924E-2"/>
                  <c:y val="-0.31220307461567331"/>
                </c:manualLayout>
              </c:layout>
              <c:dLblPos val="r"/>
              <c:showVal val="1"/>
            </c:dLbl>
            <c:dLbl>
              <c:idx val="3"/>
              <c:layout>
                <c:manualLayout>
                  <c:x val="-7.6185069889519619E-2"/>
                  <c:y val="-0.15264431946006782"/>
                </c:manualLayout>
              </c:layout>
              <c:dLblPos val="r"/>
              <c:showVal val="1"/>
            </c:dLbl>
            <c:dLbl>
              <c:idx val="4"/>
              <c:layout>
                <c:manualLayout>
                  <c:x val="-8.2541659036806422E-2"/>
                  <c:y val="-0.123418972628421"/>
                </c:manualLayout>
              </c:layout>
              <c:dLblPos val="r"/>
              <c:showVal val="1"/>
            </c:dLbl>
            <c:spPr>
              <a:noFill/>
              <a:ln w="25400">
                <a:noFill/>
              </a:ln>
            </c:spPr>
            <c:txPr>
              <a:bodyPr/>
              <a:lstStyle/>
              <a:p>
                <a:pPr>
                  <a:defRPr sz="900" b="1" i="0" u="none" strike="noStrike" baseline="0">
                    <a:solidFill>
                      <a:srgbClr val="000090"/>
                    </a:solidFill>
                    <a:latin typeface="Arial"/>
                    <a:ea typeface="Arial"/>
                    <a:cs typeface="Arial"/>
                  </a:defRPr>
                </a:pPr>
                <a:endParaRPr lang="es-ES"/>
              </a:p>
            </c:txPr>
            <c:showVal val="1"/>
          </c:dLbls>
          <c:cat>
            <c:strRef>
              <c:f>'MAPA 2015'!$J$124:$J$128</c:f>
              <c:strCache>
                <c:ptCount val="5"/>
                <c:pt idx="0">
                  <c:v>RIESGOS ACEPTABLES</c:v>
                </c:pt>
                <c:pt idx="1">
                  <c:v>RIESGOS TOLERABLES</c:v>
                </c:pt>
                <c:pt idx="2">
                  <c:v>RIESGOS MODERADOS</c:v>
                </c:pt>
                <c:pt idx="3">
                  <c:v>RIESGOS IMPORTANTES</c:v>
                </c:pt>
                <c:pt idx="4">
                  <c:v>RIESGOS INACEPTABLES</c:v>
                </c:pt>
              </c:strCache>
            </c:strRef>
          </c:cat>
          <c:val>
            <c:numRef>
              <c:f>'MAPA 2015'!$P$124:$P$128</c:f>
              <c:numCache>
                <c:formatCode>0.00%</c:formatCode>
                <c:ptCount val="5"/>
                <c:pt idx="0">
                  <c:v>0.27173913043478154</c:v>
                </c:pt>
                <c:pt idx="1">
                  <c:v>0.47826086956521852</c:v>
                </c:pt>
                <c:pt idx="2">
                  <c:v>0.20652173913043573</c:v>
                </c:pt>
                <c:pt idx="3">
                  <c:v>4.3478260869565223E-2</c:v>
                </c:pt>
                <c:pt idx="4">
                  <c:v>0</c:v>
                </c:pt>
              </c:numCache>
            </c:numRef>
          </c:val>
          <c:smooth val="1"/>
        </c:ser>
        <c:marker val="1"/>
        <c:axId val="169833984"/>
        <c:axId val="169835904"/>
      </c:lineChart>
      <c:lineChart>
        <c:grouping val="standard"/>
        <c:ser>
          <c:idx val="3"/>
          <c:order val="2"/>
          <c:tx>
            <c:strRef>
              <c:f>'MAPA 2015'!$R$123</c:f>
              <c:strCache>
                <c:ptCount val="1"/>
              </c:strCache>
            </c:strRef>
          </c:tx>
          <c:spPr>
            <a:ln w="12700">
              <a:solidFill>
                <a:srgbClr val="00ABEA"/>
              </a:solidFill>
              <a:prstDash val="solid"/>
            </a:ln>
          </c:spPr>
          <c:marker>
            <c:symbol val="x"/>
            <c:size val="5"/>
            <c:spPr>
              <a:noFill/>
              <a:ln>
                <a:solidFill>
                  <a:srgbClr val="00ABEA"/>
                </a:solidFill>
                <a:prstDash val="solid"/>
              </a:ln>
            </c:spPr>
          </c:marker>
          <c:cat>
            <c:strRef>
              <c:f>'MAPA 2015'!$J$124:$J$128</c:f>
              <c:strCache>
                <c:ptCount val="5"/>
                <c:pt idx="0">
                  <c:v>RIESGOS ACEPTABLES</c:v>
                </c:pt>
                <c:pt idx="1">
                  <c:v>RIESGOS TOLERABLES</c:v>
                </c:pt>
                <c:pt idx="2">
                  <c:v>RIESGOS MODERADOS</c:v>
                </c:pt>
                <c:pt idx="3">
                  <c:v>RIESGOS IMPORTANTES</c:v>
                </c:pt>
                <c:pt idx="4">
                  <c:v>RIESGOS INACEPTABLES</c:v>
                </c:pt>
              </c:strCache>
            </c:strRef>
          </c:cat>
          <c:val>
            <c:numRef>
              <c:f>'MAPA 2015'!$R$124:$R$128</c:f>
              <c:numCache>
                <c:formatCode>General</c:formatCode>
                <c:ptCount val="5"/>
              </c:numCache>
            </c:numRef>
          </c:val>
        </c:ser>
        <c:marker val="1"/>
        <c:axId val="169854080"/>
        <c:axId val="169855616"/>
      </c:lineChart>
      <c:catAx>
        <c:axId val="169833984"/>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s-ES"/>
          </a:p>
        </c:txPr>
        <c:crossAx val="169835904"/>
        <c:crosses val="autoZero"/>
        <c:lblAlgn val="ctr"/>
        <c:lblOffset val="100"/>
        <c:tickLblSkip val="1"/>
        <c:tickMarkSkip val="1"/>
      </c:catAx>
      <c:valAx>
        <c:axId val="169835904"/>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169833984"/>
        <c:crosses val="autoZero"/>
        <c:crossBetween val="between"/>
      </c:valAx>
      <c:catAx>
        <c:axId val="169854080"/>
        <c:scaling>
          <c:orientation val="minMax"/>
        </c:scaling>
        <c:delete val="1"/>
        <c:axPos val="b"/>
        <c:tickLblPos val="none"/>
        <c:crossAx val="169855616"/>
        <c:crosses val="autoZero"/>
        <c:lblAlgn val="ctr"/>
        <c:lblOffset val="100"/>
      </c:catAx>
      <c:valAx>
        <c:axId val="169855616"/>
        <c:scaling>
          <c:orientation val="minMax"/>
          <c:max val="0.5"/>
        </c:scaling>
        <c:axPos val="r"/>
        <c:numFmt formatCode="0%" sourceLinked="0"/>
        <c:majorTickMark val="cross"/>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s-ES"/>
          </a:p>
        </c:txPr>
        <c:crossAx val="169854080"/>
        <c:crosses val="max"/>
        <c:crossBetween val="between"/>
        <c:majorUnit val="0.1"/>
        <c:minorUnit val="0.05"/>
      </c:valAx>
      <c:spPr>
        <a:noFill/>
        <a:ln w="25400">
          <a:noFill/>
        </a:ln>
      </c:spPr>
    </c:plotArea>
    <c:legend>
      <c:legendPos val="r"/>
      <c:layout>
        <c:manualLayout>
          <c:xMode val="edge"/>
          <c:yMode val="edge"/>
          <c:x val="0.42406847125403768"/>
          <c:y val="4.0322640187870414E-2"/>
          <c:w val="0.421203143745562"/>
          <c:h val="0.12903244860118501"/>
        </c:manualLayout>
      </c:layout>
      <c:spPr>
        <a:solidFill>
          <a:srgbClr val="FFFFFF"/>
        </a:solidFill>
        <a:ln w="25400">
          <a:noFill/>
        </a:ln>
      </c:spPr>
      <c:txPr>
        <a:bodyPr/>
        <a:lstStyle/>
        <a:p>
          <a:pPr>
            <a:defRPr sz="82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CO"/>
              <a:t>%</a:t>
            </a:r>
            <a:r>
              <a:rPr lang="es-CO" baseline="0"/>
              <a:t> EFICACIA DEL S.G.C.</a:t>
            </a:r>
            <a:endParaRPr lang="es-CO"/>
          </a:p>
        </c:rich>
      </c:tx>
    </c:title>
    <c:plotArea>
      <c:layout>
        <c:manualLayout>
          <c:layoutTarget val="inner"/>
          <c:xMode val="edge"/>
          <c:yMode val="edge"/>
          <c:x val="8.4423819082821608E-2"/>
          <c:y val="0.13851955383462491"/>
          <c:w val="0.63006162917311825"/>
          <c:h val="0.62183392519300362"/>
        </c:manualLayout>
      </c:layout>
      <c:barChart>
        <c:barDir val="col"/>
        <c:grouping val="clustered"/>
        <c:ser>
          <c:idx val="0"/>
          <c:order val="0"/>
          <c:tx>
            <c:strRef>
              <c:f>'Tablero de Mando'!$H$233</c:f>
              <c:strCache>
                <c:ptCount val="1"/>
                <c:pt idx="0">
                  <c:v>% EFICACIA DEL S.G.C.</c:v>
                </c:pt>
              </c:strCache>
            </c:strRef>
          </c:tx>
          <c:spPr>
            <a:solidFill>
              <a:srgbClr val="009900"/>
            </a:solidFill>
            <a:ln w="12700">
              <a:solidFill>
                <a:srgbClr val="000000"/>
              </a:solidFill>
              <a:prstDash val="solid"/>
            </a:ln>
          </c:spPr>
          <c:dLbls>
            <c:dLbl>
              <c:idx val="1"/>
              <c:layout>
                <c:manualLayout>
                  <c:x val="5.1529246314976317E-3"/>
                  <c:y val="0.65178760866469621"/>
                </c:manualLayout>
              </c:layout>
              <c:dLblPos val="outEnd"/>
              <c:showVal val="1"/>
            </c:dLbl>
            <c:dLbl>
              <c:idx val="2"/>
              <c:layout>
                <c:manualLayout>
                  <c:x val="1.0120180798312416E-3"/>
                  <c:y val="0.66369240516998662"/>
                </c:manualLayout>
              </c:layout>
              <c:dLblPos val="outEnd"/>
              <c:showVal val="1"/>
            </c:dLbl>
            <c:dLbl>
              <c:idx val="3"/>
              <c:layout>
                <c:manualLayout>
                  <c:x val="-2.9394942248139506E-2"/>
                  <c:y val="2.6405118298822483E-3"/>
                </c:manualLayout>
              </c:layout>
              <c:dLblPos val="outEnd"/>
              <c:showVal val="1"/>
            </c:dLbl>
            <c:dLbl>
              <c:idx val="4"/>
              <c:layout>
                <c:manualLayout>
                  <c:x val="-3.4781275372626567E-4"/>
                  <c:y val="-2.4744282814763052E-2"/>
                </c:manualLayout>
              </c:layout>
              <c:numFmt formatCode="0.0%" sourceLinked="0"/>
              <c:spPr>
                <a:noFill/>
                <a:ln w="25400">
                  <a:noFill/>
                </a:ln>
              </c:spPr>
              <c:txPr>
                <a:bodyPr/>
                <a:lstStyle/>
                <a:p>
                  <a:pPr>
                    <a:defRPr sz="875" b="1" i="0" u="none" strike="noStrike" baseline="0">
                      <a:solidFill>
                        <a:srgbClr val="000000"/>
                      </a:solidFill>
                      <a:latin typeface="Arial"/>
                      <a:ea typeface="Arial"/>
                      <a:cs typeface="Arial"/>
                    </a:defRPr>
                  </a:pPr>
                  <a:endParaRPr lang="es-ES"/>
                </a:p>
              </c:txPr>
              <c:dLblPos val="outEnd"/>
              <c:showVal val="1"/>
            </c:dLbl>
            <c:dLbl>
              <c:idx val="5"/>
              <c:layout>
                <c:manualLayout>
                  <c:x val="2.5171309356389212E-3"/>
                  <c:y val="-3.9341328727438715E-2"/>
                </c:manualLayout>
              </c:layout>
              <c:dLblPos val="outEnd"/>
              <c:showVal val="1"/>
            </c:dLbl>
            <c:dLbl>
              <c:idx val="6"/>
              <c:layout>
                <c:manualLayout>
                  <c:x val="-1.3292251512039305E-2"/>
                  <c:y val="-2.4676929428765364E-2"/>
                </c:manualLayout>
              </c:layout>
              <c:dLblPos val="outEnd"/>
              <c:showVal val="1"/>
            </c:dLbl>
            <c:dLbl>
              <c:idx val="7"/>
              <c:layout>
                <c:manualLayout>
                  <c:xMode val="edge"/>
                  <c:yMode val="edge"/>
                  <c:x val="0.95031248041310901"/>
                  <c:y val="0.12202416417923538"/>
                </c:manualLayout>
              </c:layout>
              <c:dLblPos val="outEnd"/>
              <c:showVal val="1"/>
            </c:dLbl>
            <c:dLbl>
              <c:idx val="8"/>
              <c:layout>
                <c:manualLayout>
                  <c:xMode val="edge"/>
                  <c:yMode val="edge"/>
                  <c:x val="0.67909039994662201"/>
                  <c:y val="1.4880995631614003E-2"/>
                </c:manualLayout>
              </c:layout>
              <c:dLblPos val="outEnd"/>
              <c:showVal val="1"/>
            </c:dLbl>
            <c:dLbl>
              <c:idx val="9"/>
              <c:layout>
                <c:manualLayout>
                  <c:xMode val="edge"/>
                  <c:yMode val="edge"/>
                  <c:x val="0.68116079750743497"/>
                  <c:y val="1.4880995631614003E-2"/>
                </c:manualLayout>
              </c:layout>
              <c:dLblPos val="outEnd"/>
              <c:showVal val="1"/>
            </c:dLbl>
            <c:dLbl>
              <c:idx val="10"/>
              <c:layout>
                <c:manualLayout>
                  <c:xMode val="edge"/>
                  <c:yMode val="edge"/>
                  <c:x val="0.76190630237914003"/>
                  <c:y val="1.4880995631614003E-2"/>
                </c:manualLayout>
              </c:layout>
              <c:dLblPos val="outEnd"/>
              <c:showVal val="1"/>
            </c:dLbl>
            <c:dLbl>
              <c:idx val="11"/>
              <c:layout>
                <c:manualLayout>
                  <c:xMode val="edge"/>
                  <c:yMode val="edge"/>
                  <c:x val="0.86335578285896797"/>
                  <c:y val="1.4880995631614003E-2"/>
                </c:manualLayout>
              </c:layout>
              <c:dLblPos val="outEnd"/>
              <c:showVal val="1"/>
            </c:dLbl>
            <c:dLbl>
              <c:idx val="12"/>
              <c:layout>
                <c:manualLayout>
                  <c:xMode val="edge"/>
                  <c:yMode val="edge"/>
                  <c:x val="0.34782679021656504"/>
                  <c:y val="0.4702394619590034"/>
                </c:manualLayout>
              </c:layout>
              <c:dLblPos val="outEnd"/>
              <c:showVal val="1"/>
            </c:dLbl>
            <c:dLbl>
              <c:idx val="13"/>
              <c:layout>
                <c:manualLayout>
                  <c:xMode val="edge"/>
                  <c:yMode val="edge"/>
                  <c:x val="0.401657126797697"/>
                  <c:y val="0.4702394619590034"/>
                </c:manualLayout>
              </c:layout>
              <c:dLblPos val="outEnd"/>
              <c:showVal val="1"/>
            </c:dLbl>
            <c:dLbl>
              <c:idx val="14"/>
              <c:layout>
                <c:manualLayout>
                  <c:xMode val="edge"/>
                  <c:yMode val="edge"/>
                  <c:x val="0.36853076582469363"/>
                  <c:y val="0.53571584273810569"/>
                </c:manualLayout>
              </c:layout>
              <c:dLblPos val="outEnd"/>
              <c:showVal val="1"/>
            </c:dLbl>
            <c:dLbl>
              <c:idx val="15"/>
              <c:layout>
                <c:manualLayout>
                  <c:xMode val="edge"/>
                  <c:yMode val="edge"/>
                  <c:x val="0.45548746337883433"/>
                  <c:y val="0.19047674408465887"/>
                </c:manualLayout>
              </c:layout>
              <c:dLblPos val="outEnd"/>
              <c:showVal val="1"/>
            </c:dLbl>
            <c:dLbl>
              <c:idx val="16"/>
              <c:layout>
                <c:manualLayout>
                  <c:xMode val="edge"/>
                  <c:yMode val="edge"/>
                  <c:x val="0.43271309020989251"/>
                  <c:y val="0.25595312486375993"/>
                </c:manualLayout>
              </c:layout>
              <c:dLblPos val="outEnd"/>
              <c:showVal val="1"/>
            </c:dLbl>
            <c:dLbl>
              <c:idx val="17"/>
              <c:layout>
                <c:manualLayout>
                  <c:xMode val="edge"/>
                  <c:yMode val="edge"/>
                  <c:x val="0.48654342679102475"/>
                  <c:y val="0.25297692573743952"/>
                </c:manualLayout>
              </c:layout>
              <c:dLblPos val="outEnd"/>
              <c:showVal val="1"/>
            </c:dLbl>
            <c:dLbl>
              <c:idx val="18"/>
              <c:layout>
                <c:manualLayout>
                  <c:xMode val="edge"/>
                  <c:yMode val="edge"/>
                  <c:x val="0.51138819752078002"/>
                  <c:y val="0.193452943210982"/>
                </c:manualLayout>
              </c:layout>
              <c:dLblPos val="outEnd"/>
              <c:showVal val="1"/>
            </c:dLbl>
            <c:dLbl>
              <c:idx val="19"/>
              <c:layout>
                <c:manualLayout>
                  <c:xMode val="edge"/>
                  <c:yMode val="edge"/>
                  <c:x val="0.53830336581134175"/>
                  <c:y val="0.23809593010582519"/>
                </c:manualLayout>
              </c:layout>
              <c:dLblPos val="outEnd"/>
              <c:showVal val="1"/>
            </c:dLbl>
            <c:numFmt formatCode="0%" sourceLinked="0"/>
            <c:spPr>
              <a:noFill/>
              <a:ln w="25400">
                <a:noFill/>
              </a:ln>
            </c:spPr>
            <c:txPr>
              <a:bodyPr/>
              <a:lstStyle/>
              <a:p>
                <a:pPr>
                  <a:defRPr sz="875" b="1" i="0" u="none" strike="noStrike" baseline="0">
                    <a:solidFill>
                      <a:srgbClr val="000000"/>
                    </a:solidFill>
                    <a:latin typeface="Arial"/>
                    <a:ea typeface="Arial"/>
                    <a:cs typeface="Arial"/>
                  </a:defRPr>
                </a:pPr>
                <a:endParaRPr lang="es-ES"/>
              </a:p>
            </c:txPr>
            <c:showVal val="1"/>
          </c:dLbls>
          <c:cat>
            <c:strRef>
              <c:f>'Tablero de Mando'!$I$231:$O$231</c:f>
              <c:strCache>
                <c:ptCount val="7"/>
                <c:pt idx="3">
                  <c:v>ENE-MAR/2014</c:v>
                </c:pt>
                <c:pt idx="4">
                  <c:v>ABR-JUN/2014</c:v>
                </c:pt>
                <c:pt idx="5">
                  <c:v>JUL-SEP/2014</c:v>
                </c:pt>
                <c:pt idx="6">
                  <c:v>OCT-DIC/2014</c:v>
                </c:pt>
              </c:strCache>
            </c:strRef>
          </c:cat>
          <c:val>
            <c:numRef>
              <c:f>'Tablero de Mando'!$I$233:$O$233</c:f>
              <c:numCache>
                <c:formatCode>General</c:formatCode>
                <c:ptCount val="7"/>
                <c:pt idx="3" formatCode="0%">
                  <c:v>0.93929712460063897</c:v>
                </c:pt>
                <c:pt idx="4" formatCode="0%">
                  <c:v>0.79552715654952333</c:v>
                </c:pt>
                <c:pt idx="5" formatCode="0%">
                  <c:v>0.79552715654952333</c:v>
                </c:pt>
                <c:pt idx="6" formatCode="0%">
                  <c:v>0.79552715654952333</c:v>
                </c:pt>
              </c:numCache>
            </c:numRef>
          </c:val>
        </c:ser>
        <c:gapWidth val="40"/>
        <c:axId val="169776640"/>
        <c:axId val="169778176"/>
      </c:barChart>
      <c:lineChart>
        <c:grouping val="standard"/>
        <c:ser>
          <c:idx val="1"/>
          <c:order val="1"/>
          <c:tx>
            <c:strRef>
              <c:f>'Tablero de Mando'!$H$235</c:f>
              <c:strCache>
                <c:ptCount val="1"/>
                <c:pt idx="0">
                  <c:v>EXCELENTE (%)</c:v>
                </c:pt>
              </c:strCache>
            </c:strRef>
          </c:tx>
          <c:spPr>
            <a:ln w="25400">
              <a:solidFill>
                <a:srgbClr val="006411"/>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Mando'!$I$235:$O$235</c:f>
              <c:numCache>
                <c:formatCode>General</c:formatCode>
                <c:ptCount val="7"/>
                <c:pt idx="3" formatCode="0%">
                  <c:v>1</c:v>
                </c:pt>
                <c:pt idx="4" formatCode="0%">
                  <c:v>1</c:v>
                </c:pt>
                <c:pt idx="5" formatCode="0%">
                  <c:v>1</c:v>
                </c:pt>
                <c:pt idx="6" formatCode="0%">
                  <c:v>1</c:v>
                </c:pt>
              </c:numCache>
            </c:numRef>
          </c:val>
        </c:ser>
        <c:ser>
          <c:idx val="2"/>
          <c:order val="2"/>
          <c:tx>
            <c:strRef>
              <c:f>'Tablero de Mando'!$H$236</c:f>
              <c:strCache>
                <c:ptCount val="1"/>
                <c:pt idx="0">
                  <c:v>REGULAR (%)</c:v>
                </c:pt>
              </c:strCache>
            </c:strRef>
          </c:tx>
          <c:spPr>
            <a:ln w="25400">
              <a:solidFill>
                <a:srgbClr val="00CCFF"/>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Mando'!$I$236:$O$236</c:f>
              <c:numCache>
                <c:formatCode>General</c:formatCode>
                <c:ptCount val="7"/>
                <c:pt idx="3" formatCode="0%">
                  <c:v>0.8</c:v>
                </c:pt>
                <c:pt idx="4" formatCode="0%">
                  <c:v>0.8</c:v>
                </c:pt>
                <c:pt idx="5" formatCode="0%">
                  <c:v>0.8</c:v>
                </c:pt>
                <c:pt idx="6" formatCode="0%">
                  <c:v>0.8</c:v>
                </c:pt>
              </c:numCache>
            </c:numRef>
          </c:val>
        </c:ser>
        <c:ser>
          <c:idx val="3"/>
          <c:order val="3"/>
          <c:tx>
            <c:strRef>
              <c:f>'Tablero de Mando'!$H$237</c:f>
              <c:strCache>
                <c:ptCount val="1"/>
                <c:pt idx="0">
                  <c:v>DEFICIENTE (%)</c:v>
                </c:pt>
              </c:strCache>
            </c:strRef>
          </c:tx>
          <c:spPr>
            <a:ln w="25400">
              <a:solidFill>
                <a:srgbClr val="DD0806"/>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Mando'!$I$237:$O$237</c:f>
              <c:numCache>
                <c:formatCode>General</c:formatCode>
                <c:ptCount val="7"/>
                <c:pt idx="3" formatCode="0%">
                  <c:v>0.60000000000000064</c:v>
                </c:pt>
                <c:pt idx="4" formatCode="0%">
                  <c:v>0.60000000000000064</c:v>
                </c:pt>
                <c:pt idx="5" formatCode="0%">
                  <c:v>0.60000000000000064</c:v>
                </c:pt>
                <c:pt idx="6" formatCode="0%">
                  <c:v>0.60000000000000064</c:v>
                </c:pt>
              </c:numCache>
            </c:numRef>
          </c:val>
        </c:ser>
        <c:marker val="1"/>
        <c:axId val="169776640"/>
        <c:axId val="169778176"/>
      </c:lineChart>
      <c:catAx>
        <c:axId val="169776640"/>
        <c:scaling>
          <c:orientation val="minMax"/>
        </c:scaling>
        <c:axPos val="b"/>
        <c:numFmt formatCode="General" sourceLinked="1"/>
        <c:tickLblPos val="nextTo"/>
        <c:spPr>
          <a:ln w="3175">
            <a:solidFill>
              <a:srgbClr val="000000"/>
            </a:solidFill>
            <a:prstDash val="solid"/>
          </a:ln>
        </c:spPr>
        <c:txPr>
          <a:bodyPr rot="-5400000" vert="horz"/>
          <a:lstStyle/>
          <a:p>
            <a:pPr>
              <a:defRPr sz="1000" b="1" i="0" u="none" strike="noStrike" baseline="0">
                <a:solidFill>
                  <a:srgbClr val="000000"/>
                </a:solidFill>
                <a:latin typeface="Arial"/>
                <a:ea typeface="Arial"/>
                <a:cs typeface="Arial"/>
              </a:defRPr>
            </a:pPr>
            <a:endParaRPr lang="es-ES"/>
          </a:p>
        </c:txPr>
        <c:crossAx val="169778176"/>
        <c:crosses val="autoZero"/>
        <c:auto val="1"/>
        <c:lblAlgn val="ctr"/>
        <c:lblOffset val="100"/>
        <c:tickLblSkip val="1"/>
        <c:tickMarkSkip val="1"/>
      </c:catAx>
      <c:valAx>
        <c:axId val="169778176"/>
        <c:scaling>
          <c:orientation val="minMax"/>
          <c:max val="1.4"/>
          <c:min val="0"/>
        </c:scaling>
        <c:axPos val="l"/>
        <c:numFmt formatCode="0%" sourceLinked="0"/>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69776640"/>
        <c:crosses val="autoZero"/>
        <c:crossBetween val="between"/>
        <c:minorUnit val="0.1"/>
      </c:valAx>
      <c:spPr>
        <a:noFill/>
        <a:ln w="25400">
          <a:noFill/>
        </a:ln>
      </c:spPr>
    </c:plotArea>
    <c:legend>
      <c:legendPos val="r"/>
      <c:layout>
        <c:manualLayout>
          <c:xMode val="edge"/>
          <c:yMode val="edge"/>
          <c:x val="0.77197261501766645"/>
          <c:y val="0.12598539419779653"/>
          <c:w val="0.21791060806956991"/>
          <c:h val="0.80752049578209717"/>
        </c:manualLayout>
      </c:layout>
      <c:spPr>
        <a:solidFill>
          <a:srgbClr val="FFFFFF"/>
        </a:solidFill>
        <a:ln w="25400">
          <a:noFill/>
        </a:ln>
      </c:spPr>
      <c:txPr>
        <a:bodyPr/>
        <a:lstStyle/>
        <a:p>
          <a:pPr>
            <a:defRPr sz="67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675" b="0" i="0" u="none" strike="noStrike" baseline="0">
          <a:solidFill>
            <a:srgbClr val="000000"/>
          </a:solidFill>
          <a:latin typeface="Arial"/>
          <a:ea typeface="Arial"/>
          <a:cs typeface="Arial"/>
        </a:defRPr>
      </a:pPr>
      <a:endParaRPr lang="es-ES"/>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CO"/>
              <a:t>% EFICIENCIA S.G.C.</a:t>
            </a:r>
          </a:p>
        </c:rich>
      </c:tx>
    </c:title>
    <c:plotArea>
      <c:layout>
        <c:manualLayout>
          <c:layoutTarget val="inner"/>
          <c:xMode val="edge"/>
          <c:yMode val="edge"/>
          <c:x val="9.1093117408906479E-2"/>
          <c:y val="7.3170840633992457E-2"/>
          <c:w val="0.6747288664388672"/>
          <c:h val="0.67073270581159805"/>
        </c:manualLayout>
      </c:layout>
      <c:barChart>
        <c:barDir val="col"/>
        <c:grouping val="clustered"/>
        <c:ser>
          <c:idx val="0"/>
          <c:order val="0"/>
          <c:tx>
            <c:strRef>
              <c:f>'Tablero de Mando'!$H$240</c:f>
              <c:strCache>
                <c:ptCount val="1"/>
                <c:pt idx="0">
                  <c:v>% EFICIENCIA DEL S.G.C. </c:v>
                </c:pt>
              </c:strCache>
            </c:strRef>
          </c:tx>
          <c:spPr>
            <a:solidFill>
              <a:srgbClr val="009900"/>
            </a:solidFill>
            <a:ln w="12700">
              <a:solidFill>
                <a:srgbClr val="000000"/>
              </a:solidFill>
              <a:prstDash val="solid"/>
            </a:ln>
          </c:spPr>
          <c:dLbls>
            <c:dLbl>
              <c:idx val="1"/>
              <c:layout>
                <c:manualLayout>
                  <c:x val="-1.2038394714057401E-3"/>
                  <c:y val="0.64939121062668836"/>
                </c:manualLayout>
              </c:layout>
              <c:dLblPos val="outEnd"/>
              <c:showVal val="1"/>
            </c:dLbl>
            <c:dLbl>
              <c:idx val="2"/>
              <c:layout>
                <c:manualLayout>
                  <c:x val="-6.1200878377020455E-3"/>
                  <c:y val="0.66158635073234495"/>
                </c:manualLayout>
              </c:layout>
              <c:dLblPos val="outEnd"/>
              <c:showVal val="1"/>
            </c:dLbl>
            <c:dLbl>
              <c:idx val="3"/>
              <c:layout>
                <c:manualLayout>
                  <c:x val="-2.4498626233325788E-2"/>
                  <c:y val="-1.2691791537605301E-2"/>
                </c:manualLayout>
              </c:layout>
              <c:dLblPos val="outEnd"/>
              <c:showVal val="1"/>
            </c:dLbl>
            <c:dLbl>
              <c:idx val="4"/>
              <c:layout>
                <c:manualLayout>
                  <c:x val="-3.7965837980648274E-3"/>
                  <c:y val="-2.5431488760811752E-2"/>
                </c:manualLayout>
              </c:layout>
              <c:dLblPos val="outEnd"/>
              <c:showVal val="1"/>
            </c:dLbl>
            <c:dLbl>
              <c:idx val="5"/>
              <c:layout>
                <c:manualLayout>
                  <c:x val="4.0978885736448895E-3"/>
                  <c:y val="-1.9307982843607921E-2"/>
                </c:manualLayout>
              </c:layout>
              <c:dLblPos val="outEnd"/>
              <c:showVal val="1"/>
            </c:dLbl>
            <c:dLbl>
              <c:idx val="6"/>
              <c:layout>
                <c:manualLayout>
                  <c:x val="1.2058015153764399E-3"/>
                  <c:y val="-8.1991582948683587E-3"/>
                </c:manualLayout>
              </c:layout>
              <c:dLblPos val="outEnd"/>
              <c:showVal val="1"/>
            </c:dLbl>
            <c:dLbl>
              <c:idx val="7"/>
              <c:layout>
                <c:manualLayout>
                  <c:xMode val="edge"/>
                  <c:yMode val="edge"/>
                  <c:x val="0.92914979757085303"/>
                  <c:y val="0.12500018608307001"/>
                </c:manualLayout>
              </c:layout>
              <c:dLblPos val="outEnd"/>
              <c:showVal val="1"/>
            </c:dLbl>
            <c:dLbl>
              <c:idx val="8"/>
              <c:layout>
                <c:manualLayout>
                  <c:xMode val="edge"/>
                  <c:yMode val="edge"/>
                  <c:x val="0.66396761133603432"/>
                  <c:y val="1.5243925132081807E-2"/>
                </c:manualLayout>
              </c:layout>
              <c:dLblPos val="outEnd"/>
              <c:showVal val="1"/>
            </c:dLbl>
            <c:dLbl>
              <c:idx val="9"/>
              <c:layout>
                <c:manualLayout>
                  <c:xMode val="edge"/>
                  <c:yMode val="edge"/>
                  <c:x val="0.66599190283401266"/>
                  <c:y val="1.5243925132081807E-2"/>
                </c:manualLayout>
              </c:layout>
              <c:dLblPos val="outEnd"/>
              <c:showVal val="1"/>
            </c:dLbl>
            <c:dLbl>
              <c:idx val="10"/>
              <c:layout>
                <c:manualLayout>
                  <c:xMode val="edge"/>
                  <c:yMode val="edge"/>
                  <c:x val="0.74493927125506165"/>
                  <c:y val="1.5243925132081807E-2"/>
                </c:manualLayout>
              </c:layout>
              <c:dLblPos val="outEnd"/>
              <c:showVal val="1"/>
            </c:dLbl>
            <c:dLbl>
              <c:idx val="11"/>
              <c:layout>
                <c:manualLayout>
                  <c:xMode val="edge"/>
                  <c:yMode val="edge"/>
                  <c:x val="0.84412955465587525"/>
                  <c:y val="1.5243925132081807E-2"/>
                </c:manualLayout>
              </c:layout>
              <c:dLblPos val="outEnd"/>
              <c:showVal val="1"/>
            </c:dLbl>
            <c:dLbl>
              <c:idx val="12"/>
              <c:layout>
                <c:manualLayout>
                  <c:xMode val="edge"/>
                  <c:yMode val="edge"/>
                  <c:x val="0.34008097165992168"/>
                  <c:y val="0.48170803417378399"/>
                </c:manualLayout>
              </c:layout>
              <c:dLblPos val="outEnd"/>
              <c:showVal val="1"/>
            </c:dLbl>
            <c:dLbl>
              <c:idx val="13"/>
              <c:layout>
                <c:manualLayout>
                  <c:xMode val="edge"/>
                  <c:yMode val="edge"/>
                  <c:x val="0.39271255060728738"/>
                  <c:y val="0.48170803417378399"/>
                </c:manualLayout>
              </c:layout>
              <c:dLblPos val="outEnd"/>
              <c:showVal val="1"/>
            </c:dLbl>
            <c:dLbl>
              <c:idx val="14"/>
              <c:layout>
                <c:manualLayout>
                  <c:xMode val="edge"/>
                  <c:yMode val="edge"/>
                  <c:x val="0.36032388663967868"/>
                  <c:y val="0.54878130475494258"/>
                </c:manualLayout>
              </c:layout>
              <c:dLblPos val="outEnd"/>
              <c:showVal val="1"/>
            </c:dLbl>
            <c:dLbl>
              <c:idx val="15"/>
              <c:layout>
                <c:manualLayout>
                  <c:xMode val="edge"/>
                  <c:yMode val="edge"/>
                  <c:x val="0.44534412955465752"/>
                  <c:y val="0.19512224169064687"/>
                </c:manualLayout>
              </c:layout>
              <c:dLblPos val="outEnd"/>
              <c:showVal val="1"/>
            </c:dLbl>
            <c:dLbl>
              <c:idx val="16"/>
              <c:layout>
                <c:manualLayout>
                  <c:xMode val="edge"/>
                  <c:yMode val="edge"/>
                  <c:x val="0.42307692307692452"/>
                  <c:y val="0.26219551227180599"/>
                </c:manualLayout>
              </c:layout>
              <c:dLblPos val="outEnd"/>
              <c:showVal val="1"/>
            </c:dLbl>
            <c:dLbl>
              <c:idx val="17"/>
              <c:layout>
                <c:manualLayout>
                  <c:xMode val="edge"/>
                  <c:yMode val="edge"/>
                  <c:x val="0.47570850202429132"/>
                  <c:y val="0.25914672724539001"/>
                </c:manualLayout>
              </c:layout>
              <c:dLblPos val="outEnd"/>
              <c:showVal val="1"/>
            </c:dLbl>
            <c:dLbl>
              <c:idx val="18"/>
              <c:layout>
                <c:manualLayout>
                  <c:xMode val="edge"/>
                  <c:yMode val="edge"/>
                  <c:x val="0.5"/>
                  <c:y val="0.19817102671706288"/>
                </c:manualLayout>
              </c:layout>
              <c:dLblPos val="outEnd"/>
              <c:showVal val="1"/>
            </c:dLbl>
            <c:dLbl>
              <c:idx val="19"/>
              <c:layout>
                <c:manualLayout>
                  <c:xMode val="edge"/>
                  <c:yMode val="edge"/>
                  <c:x val="0.52631578947368396"/>
                  <c:y val="0.24390280211330861"/>
                </c:manualLayout>
              </c:layout>
              <c:dLblPos val="outEnd"/>
              <c:showVal val="1"/>
            </c:dLbl>
            <c:numFmt formatCode="0%" sourceLinked="0"/>
            <c:spPr>
              <a:noFill/>
              <a:ln w="25400">
                <a:noFill/>
              </a:ln>
            </c:spPr>
            <c:txPr>
              <a:bodyPr/>
              <a:lstStyle/>
              <a:p>
                <a:pPr>
                  <a:defRPr sz="875" b="1" i="0" u="none" strike="noStrike" baseline="0">
                    <a:solidFill>
                      <a:srgbClr val="000000"/>
                    </a:solidFill>
                    <a:latin typeface="Arial"/>
                    <a:ea typeface="Arial"/>
                    <a:cs typeface="Arial"/>
                  </a:defRPr>
                </a:pPr>
                <a:endParaRPr lang="es-ES"/>
              </a:p>
            </c:txPr>
            <c:showVal val="1"/>
          </c:dLbls>
          <c:cat>
            <c:strRef>
              <c:f>'Tablero de Mando'!$I$231:$O$231</c:f>
              <c:strCache>
                <c:ptCount val="7"/>
                <c:pt idx="3">
                  <c:v>ENE-MAR/2014</c:v>
                </c:pt>
                <c:pt idx="4">
                  <c:v>ABR-JUN/2014</c:v>
                </c:pt>
                <c:pt idx="5">
                  <c:v>JUL-SEP/2014</c:v>
                </c:pt>
                <c:pt idx="6">
                  <c:v>OCT-DIC/2014</c:v>
                </c:pt>
              </c:strCache>
            </c:strRef>
          </c:cat>
          <c:val>
            <c:numRef>
              <c:f>'Tablero de Mando'!$I$240:$O$240</c:f>
              <c:numCache>
                <c:formatCode>General</c:formatCode>
                <c:ptCount val="7"/>
                <c:pt idx="3" formatCode="0%">
                  <c:v>0.88985507246377182</c:v>
                </c:pt>
                <c:pt idx="4" formatCode="0%">
                  <c:v>0.98260869565217668</c:v>
                </c:pt>
                <c:pt idx="5" formatCode="0%">
                  <c:v>0.98840579710144849</c:v>
                </c:pt>
                <c:pt idx="6" formatCode="0%">
                  <c:v>0.98840579710144849</c:v>
                </c:pt>
              </c:numCache>
            </c:numRef>
          </c:val>
        </c:ser>
        <c:gapWidth val="40"/>
        <c:axId val="170051456"/>
        <c:axId val="170052992"/>
      </c:barChart>
      <c:lineChart>
        <c:grouping val="standard"/>
        <c:ser>
          <c:idx val="1"/>
          <c:order val="1"/>
          <c:tx>
            <c:strRef>
              <c:f>'Tablero de Mando'!$H$242</c:f>
              <c:strCache>
                <c:ptCount val="1"/>
                <c:pt idx="0">
                  <c:v>EXCELENTE (%)</c:v>
                </c:pt>
              </c:strCache>
            </c:strRef>
          </c:tx>
          <c:spPr>
            <a:ln w="25400">
              <a:solidFill>
                <a:srgbClr val="006411"/>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Mando'!$I$242:$O$242</c:f>
              <c:numCache>
                <c:formatCode>General</c:formatCode>
                <c:ptCount val="7"/>
                <c:pt idx="3" formatCode="0%">
                  <c:v>1</c:v>
                </c:pt>
                <c:pt idx="4" formatCode="0%">
                  <c:v>1</c:v>
                </c:pt>
                <c:pt idx="5" formatCode="0%">
                  <c:v>1</c:v>
                </c:pt>
                <c:pt idx="6" formatCode="0%">
                  <c:v>1</c:v>
                </c:pt>
              </c:numCache>
            </c:numRef>
          </c:val>
        </c:ser>
        <c:ser>
          <c:idx val="2"/>
          <c:order val="2"/>
          <c:tx>
            <c:strRef>
              <c:f>'Tablero de Mando'!$H$243</c:f>
              <c:strCache>
                <c:ptCount val="1"/>
                <c:pt idx="0">
                  <c:v>REGULAR (%)</c:v>
                </c:pt>
              </c:strCache>
            </c:strRef>
          </c:tx>
          <c:spPr>
            <a:ln w="25400">
              <a:solidFill>
                <a:srgbClr val="00ABEA"/>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Mando'!$I$243:$O$243</c:f>
              <c:numCache>
                <c:formatCode>General</c:formatCode>
                <c:ptCount val="7"/>
                <c:pt idx="3" formatCode="0%">
                  <c:v>0.8</c:v>
                </c:pt>
                <c:pt idx="4" formatCode="0%">
                  <c:v>0.8</c:v>
                </c:pt>
                <c:pt idx="5" formatCode="0%">
                  <c:v>0.8</c:v>
                </c:pt>
                <c:pt idx="6" formatCode="0%">
                  <c:v>0.8</c:v>
                </c:pt>
              </c:numCache>
            </c:numRef>
          </c:val>
        </c:ser>
        <c:ser>
          <c:idx val="3"/>
          <c:order val="3"/>
          <c:tx>
            <c:strRef>
              <c:f>'Tablero de Mando'!$H$244</c:f>
              <c:strCache>
                <c:ptCount val="1"/>
                <c:pt idx="0">
                  <c:v>DEFICIENTE (%)</c:v>
                </c:pt>
              </c:strCache>
            </c:strRef>
          </c:tx>
          <c:spPr>
            <a:ln w="25400">
              <a:solidFill>
                <a:srgbClr val="DD0806"/>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Mando'!$I$244:$O$244</c:f>
              <c:numCache>
                <c:formatCode>General</c:formatCode>
                <c:ptCount val="7"/>
                <c:pt idx="3" formatCode="0%">
                  <c:v>0.60000000000000064</c:v>
                </c:pt>
                <c:pt idx="4" formatCode="0%">
                  <c:v>0.60000000000000064</c:v>
                </c:pt>
                <c:pt idx="5" formatCode="0%">
                  <c:v>0.60000000000000064</c:v>
                </c:pt>
                <c:pt idx="6" formatCode="0%">
                  <c:v>0.60000000000000064</c:v>
                </c:pt>
              </c:numCache>
            </c:numRef>
          </c:val>
        </c:ser>
        <c:marker val="1"/>
        <c:axId val="170051456"/>
        <c:axId val="170052992"/>
      </c:lineChart>
      <c:catAx>
        <c:axId val="170051456"/>
        <c:scaling>
          <c:orientation val="minMax"/>
        </c:scaling>
        <c:axPos val="b"/>
        <c:numFmt formatCode="General" sourceLinked="1"/>
        <c:tickLblPos val="nextTo"/>
        <c:spPr>
          <a:ln w="3175">
            <a:solidFill>
              <a:srgbClr val="000000"/>
            </a:solidFill>
            <a:prstDash val="solid"/>
          </a:ln>
        </c:spPr>
        <c:txPr>
          <a:bodyPr rot="-5400000" vert="horz"/>
          <a:lstStyle/>
          <a:p>
            <a:pPr>
              <a:defRPr sz="975" b="1" i="0" u="none" strike="noStrike" baseline="0">
                <a:solidFill>
                  <a:srgbClr val="000000"/>
                </a:solidFill>
                <a:latin typeface="Arial"/>
                <a:ea typeface="Arial"/>
                <a:cs typeface="Arial"/>
              </a:defRPr>
            </a:pPr>
            <a:endParaRPr lang="es-ES"/>
          </a:p>
        </c:txPr>
        <c:crossAx val="170052992"/>
        <c:crosses val="autoZero"/>
        <c:auto val="1"/>
        <c:lblAlgn val="ctr"/>
        <c:lblOffset val="100"/>
        <c:tickLblSkip val="1"/>
        <c:tickMarkSkip val="1"/>
      </c:catAx>
      <c:valAx>
        <c:axId val="170052992"/>
        <c:scaling>
          <c:orientation val="minMax"/>
          <c:max val="1.4"/>
          <c:min val="0"/>
        </c:scaling>
        <c:axPos val="l"/>
        <c:numFmt formatCode="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70051456"/>
        <c:crosses val="autoZero"/>
        <c:crossBetween val="between"/>
        <c:minorUnit val="0.1"/>
      </c:valAx>
      <c:spPr>
        <a:noFill/>
        <a:ln w="25400">
          <a:noFill/>
        </a:ln>
      </c:spPr>
    </c:plotArea>
    <c:legend>
      <c:legendPos val="r"/>
      <c:layout>
        <c:manualLayout>
          <c:xMode val="edge"/>
          <c:yMode val="edge"/>
          <c:x val="0.78066056306640919"/>
          <c:y val="0.19623115712712375"/>
          <c:w val="0.19811413608676298"/>
          <c:h val="0.71323250263937765"/>
        </c:manualLayout>
      </c:layout>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725" b="0" i="0" u="none" strike="noStrike" baseline="0">
          <a:solidFill>
            <a:srgbClr val="000000"/>
          </a:solidFill>
          <a:latin typeface="Arial"/>
          <a:ea typeface="Arial"/>
          <a:cs typeface="Arial"/>
        </a:defRPr>
      </a:pPr>
      <a:endParaRPr lang="es-ES"/>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CO"/>
              <a:t>% EFECTIVIDAD</a:t>
            </a:r>
            <a:r>
              <a:rPr lang="es-CO" baseline="0"/>
              <a:t> DEL S.G.C.</a:t>
            </a:r>
            <a:endParaRPr lang="es-CO"/>
          </a:p>
        </c:rich>
      </c:tx>
    </c:title>
    <c:plotArea>
      <c:layout>
        <c:manualLayout>
          <c:layoutTarget val="inner"/>
          <c:xMode val="edge"/>
          <c:yMode val="edge"/>
          <c:x val="9.8039424273694012E-2"/>
          <c:y val="7.5757799946141499E-2"/>
          <c:w val="0.62092734261297988"/>
          <c:h val="0.66969895152389392"/>
        </c:manualLayout>
      </c:layout>
      <c:barChart>
        <c:barDir val="col"/>
        <c:grouping val="clustered"/>
        <c:ser>
          <c:idx val="0"/>
          <c:order val="0"/>
          <c:tx>
            <c:strRef>
              <c:f>'Tablero de Mando'!$H$248</c:f>
              <c:strCache>
                <c:ptCount val="1"/>
                <c:pt idx="0">
                  <c:v>% EFECTIVIDAD DEL S.G.C. </c:v>
                </c:pt>
              </c:strCache>
            </c:strRef>
          </c:tx>
          <c:spPr>
            <a:solidFill>
              <a:srgbClr val="009900"/>
            </a:solidFill>
            <a:ln w="12700">
              <a:solidFill>
                <a:srgbClr val="000000"/>
              </a:solidFill>
              <a:prstDash val="solid"/>
            </a:ln>
          </c:spPr>
          <c:dLbls>
            <c:dLbl>
              <c:idx val="1"/>
              <c:layout>
                <c:manualLayout>
                  <c:x val="2.8550046046474912E-4"/>
                  <c:y val="0.6303048955518965"/>
                </c:manualLayout>
              </c:layout>
              <c:dLblPos val="outEnd"/>
              <c:showVal val="1"/>
            </c:dLbl>
            <c:dLbl>
              <c:idx val="2"/>
              <c:layout>
                <c:manualLayout>
                  <c:x val="-5.0053992125099443E-3"/>
                  <c:y val="0.63939583154543411"/>
                </c:manualLayout>
              </c:layout>
              <c:dLblPos val="outEnd"/>
              <c:showVal val="1"/>
            </c:dLbl>
            <c:dLbl>
              <c:idx val="3"/>
              <c:layout>
                <c:manualLayout>
                  <c:x val="-4.6719734113390534E-3"/>
                  <c:y val="-1.694551817386462E-2"/>
                </c:manualLayout>
              </c:layout>
              <c:dLblPos val="outEnd"/>
              <c:showVal val="1"/>
            </c:dLbl>
            <c:dLbl>
              <c:idx val="4"/>
              <c:layout>
                <c:manualLayout>
                  <c:x val="-4.9016865986265922E-4"/>
                  <c:y val="-1.0088284418993102E-2"/>
                </c:manualLayout>
              </c:layout>
              <c:dLblPos val="outEnd"/>
              <c:showVal val="1"/>
            </c:dLbl>
            <c:dLbl>
              <c:idx val="5"/>
              <c:layout>
                <c:manualLayout>
                  <c:x val="-2.384021526431232E-3"/>
                  <c:y val="-3.0283941780005056E-3"/>
                </c:manualLayout>
              </c:layout>
              <c:dLblPos val="outEnd"/>
              <c:showVal val="1"/>
            </c:dLbl>
            <c:dLbl>
              <c:idx val="6"/>
              <c:layout>
                <c:manualLayout>
                  <c:x val="-9.3248404924994224E-3"/>
                  <c:y val="-3.6361727511333812E-2"/>
                </c:manualLayout>
              </c:layout>
              <c:dLblPos val="outEnd"/>
              <c:showVal val="1"/>
            </c:dLbl>
            <c:dLbl>
              <c:idx val="7"/>
              <c:layout>
                <c:manualLayout>
                  <c:xMode val="edge"/>
                  <c:yMode val="edge"/>
                  <c:x val="0.94989308851845444"/>
                  <c:y val="0.44545586368330908"/>
                </c:manualLayout>
              </c:layout>
              <c:dLblPos val="outEnd"/>
              <c:showVal val="1"/>
            </c:dLbl>
            <c:dLbl>
              <c:idx val="8"/>
              <c:layout>
                <c:manualLayout>
                  <c:xMode val="edge"/>
                  <c:yMode val="edge"/>
                  <c:x val="0.71459847026159062"/>
                  <c:y val="1.5151559989228201E-2"/>
                </c:manualLayout>
              </c:layout>
              <c:dLblPos val="outEnd"/>
              <c:showVal val="1"/>
            </c:dLbl>
            <c:dLbl>
              <c:idx val="9"/>
              <c:layout>
                <c:manualLayout>
                  <c:xMode val="edge"/>
                  <c:yMode val="edge"/>
                  <c:x val="0.71677712413433603"/>
                  <c:y val="1.5151559989228201E-2"/>
                </c:manualLayout>
              </c:layout>
              <c:dLblPos val="outEnd"/>
              <c:showVal val="1"/>
            </c:dLbl>
            <c:dLbl>
              <c:idx val="10"/>
              <c:layout>
                <c:manualLayout>
                  <c:xMode val="edge"/>
                  <c:yMode val="edge"/>
                  <c:x val="0.80174462517153933"/>
                  <c:y val="1.5151559989228201E-2"/>
                </c:manualLayout>
              </c:layout>
              <c:dLblPos val="outEnd"/>
              <c:showVal val="1"/>
            </c:dLbl>
            <c:dLbl>
              <c:idx val="11"/>
              <c:layout>
                <c:manualLayout>
                  <c:xMode val="edge"/>
                  <c:yMode val="edge"/>
                  <c:x val="0.90849866493622267"/>
                  <c:y val="1.5151559989228201E-2"/>
                </c:manualLayout>
              </c:layout>
              <c:dLblPos val="outEnd"/>
              <c:showVal val="1"/>
            </c:dLbl>
            <c:dLbl>
              <c:idx val="12"/>
              <c:layout>
                <c:manualLayout>
                  <c:xMode val="edge"/>
                  <c:yMode val="edge"/>
                  <c:x val="0.36601385062178893"/>
                  <c:y val="0.47878929565961276"/>
                </c:manualLayout>
              </c:layout>
              <c:dLblPos val="outEnd"/>
              <c:showVal val="1"/>
            </c:dLbl>
            <c:dLbl>
              <c:idx val="13"/>
              <c:layout>
                <c:manualLayout>
                  <c:xMode val="edge"/>
                  <c:yMode val="edge"/>
                  <c:x val="0.42265885131325776"/>
                  <c:y val="0.47878929565961276"/>
                </c:manualLayout>
              </c:layout>
              <c:dLblPos val="outEnd"/>
              <c:showVal val="1"/>
            </c:dLbl>
            <c:dLbl>
              <c:idx val="14"/>
              <c:layout>
                <c:manualLayout>
                  <c:xMode val="edge"/>
                  <c:yMode val="edge"/>
                  <c:x val="0.38780038934927985"/>
                  <c:y val="0.54545615961221139"/>
                </c:manualLayout>
              </c:layout>
              <c:dLblPos val="outEnd"/>
              <c:showVal val="1"/>
            </c:dLbl>
            <c:dLbl>
              <c:idx val="15"/>
              <c:layout>
                <c:manualLayout>
                  <c:xMode val="edge"/>
                  <c:yMode val="edge"/>
                  <c:x val="0.47930385200472331"/>
                  <c:y val="0.19393996786212225"/>
                </c:manualLayout>
              </c:layout>
              <c:dLblPos val="outEnd"/>
              <c:showVal val="1"/>
            </c:dLbl>
            <c:dLbl>
              <c:idx val="16"/>
              <c:layout>
                <c:manualLayout>
                  <c:xMode val="edge"/>
                  <c:yMode val="edge"/>
                  <c:x val="0.45533865940448731"/>
                  <c:y val="0.26060683181472538"/>
                </c:manualLayout>
              </c:layout>
              <c:dLblPos val="outEnd"/>
              <c:showVal val="1"/>
            </c:dLbl>
            <c:dLbl>
              <c:idx val="17"/>
              <c:layout>
                <c:manualLayout>
                  <c:xMode val="edge"/>
                  <c:yMode val="edge"/>
                  <c:x val="0.51198366009595131"/>
                  <c:y val="0.25757651981688034"/>
                </c:manualLayout>
              </c:layout>
              <c:dLblPos val="outEnd"/>
              <c:showVal val="1"/>
            </c:dLbl>
            <c:dLbl>
              <c:idx val="18"/>
              <c:layout>
                <c:manualLayout>
                  <c:xMode val="edge"/>
                  <c:yMode val="edge"/>
                  <c:x val="0.53812750656893904"/>
                  <c:y val="0.19697027985996601"/>
                </c:manualLayout>
              </c:layout>
              <c:dLblPos val="outEnd"/>
              <c:showVal val="1"/>
            </c:dLbl>
            <c:dLbl>
              <c:idx val="19"/>
              <c:layout>
                <c:manualLayout>
                  <c:xMode val="edge"/>
                  <c:yMode val="edge"/>
                  <c:x val="0.56645000691467362"/>
                  <c:y val="0.24242495982765144"/>
                </c:manualLayout>
              </c:layout>
              <c:dLblPos val="outEnd"/>
              <c:showVal val="1"/>
            </c:dLbl>
            <c:numFmt formatCode="0%" sourceLinked="0"/>
            <c:spPr>
              <a:noFill/>
              <a:ln w="25400">
                <a:noFill/>
              </a:ln>
            </c:spPr>
            <c:txPr>
              <a:bodyPr/>
              <a:lstStyle/>
              <a:p>
                <a:pPr>
                  <a:defRPr sz="1000" b="1" i="0" u="none" strike="noStrike" baseline="0">
                    <a:solidFill>
                      <a:srgbClr val="000000"/>
                    </a:solidFill>
                    <a:latin typeface="Arial"/>
                    <a:ea typeface="Arial"/>
                    <a:cs typeface="Arial"/>
                  </a:defRPr>
                </a:pPr>
                <a:endParaRPr lang="es-ES"/>
              </a:p>
            </c:txPr>
            <c:showVal val="1"/>
          </c:dLbls>
          <c:cat>
            <c:strRef>
              <c:f>'Tablero de Mando'!$I$231:$O$231</c:f>
              <c:strCache>
                <c:ptCount val="7"/>
                <c:pt idx="3">
                  <c:v>ENE-MAR/2014</c:v>
                </c:pt>
                <c:pt idx="4">
                  <c:v>ABR-JUN/2014</c:v>
                </c:pt>
                <c:pt idx="5">
                  <c:v>JUL-SEP/2014</c:v>
                </c:pt>
                <c:pt idx="6">
                  <c:v>OCT-DIC/2014</c:v>
                </c:pt>
              </c:strCache>
            </c:strRef>
          </c:cat>
          <c:val>
            <c:numRef>
              <c:f>'Tablero de Mando'!$I$248:$O$248</c:f>
              <c:numCache>
                <c:formatCode>General</c:formatCode>
                <c:ptCount val="7"/>
                <c:pt idx="3" formatCode="0%">
                  <c:v>0.96198830409356761</c:v>
                </c:pt>
                <c:pt idx="4" formatCode="0%">
                  <c:v>1</c:v>
                </c:pt>
                <c:pt idx="5" formatCode="0%">
                  <c:v>1</c:v>
                </c:pt>
                <c:pt idx="6" formatCode="0%">
                  <c:v>1</c:v>
                </c:pt>
              </c:numCache>
            </c:numRef>
          </c:val>
        </c:ser>
        <c:gapWidth val="20"/>
        <c:axId val="170117376"/>
        <c:axId val="170147840"/>
      </c:barChart>
      <c:lineChart>
        <c:grouping val="standard"/>
        <c:ser>
          <c:idx val="1"/>
          <c:order val="1"/>
          <c:tx>
            <c:strRef>
              <c:f>'Tablero de Mando'!$H$250</c:f>
              <c:strCache>
                <c:ptCount val="1"/>
                <c:pt idx="0">
                  <c:v>EXCELENTE (%)</c:v>
                </c:pt>
              </c:strCache>
            </c:strRef>
          </c:tx>
          <c:spPr>
            <a:ln w="25400">
              <a:solidFill>
                <a:srgbClr val="339966"/>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Mando'!$I$250:$O$250</c:f>
              <c:numCache>
                <c:formatCode>General</c:formatCode>
                <c:ptCount val="7"/>
                <c:pt idx="3" formatCode="0%">
                  <c:v>1</c:v>
                </c:pt>
                <c:pt idx="4" formatCode="0%">
                  <c:v>1</c:v>
                </c:pt>
                <c:pt idx="5" formatCode="0%">
                  <c:v>1</c:v>
                </c:pt>
                <c:pt idx="6" formatCode="0%">
                  <c:v>1</c:v>
                </c:pt>
              </c:numCache>
            </c:numRef>
          </c:val>
        </c:ser>
        <c:ser>
          <c:idx val="2"/>
          <c:order val="2"/>
          <c:tx>
            <c:strRef>
              <c:f>'Tablero de Mando'!$H$251</c:f>
              <c:strCache>
                <c:ptCount val="1"/>
                <c:pt idx="0">
                  <c:v>REGULAR (%)</c:v>
                </c:pt>
              </c:strCache>
            </c:strRef>
          </c:tx>
          <c:spPr>
            <a:ln w="25400">
              <a:solidFill>
                <a:srgbClr val="00ABEA"/>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Mando'!$I$251:$O$251</c:f>
              <c:numCache>
                <c:formatCode>General</c:formatCode>
                <c:ptCount val="7"/>
                <c:pt idx="3" formatCode="0%">
                  <c:v>0.8</c:v>
                </c:pt>
                <c:pt idx="4" formatCode="0%">
                  <c:v>0.8</c:v>
                </c:pt>
                <c:pt idx="5" formatCode="0%">
                  <c:v>0.8</c:v>
                </c:pt>
                <c:pt idx="6" formatCode="0%">
                  <c:v>0.8</c:v>
                </c:pt>
              </c:numCache>
            </c:numRef>
          </c:val>
        </c:ser>
        <c:ser>
          <c:idx val="3"/>
          <c:order val="3"/>
          <c:tx>
            <c:strRef>
              <c:f>'Tablero de Mando'!$H$252</c:f>
              <c:strCache>
                <c:ptCount val="1"/>
                <c:pt idx="0">
                  <c:v>DEFICIENTE (%)</c:v>
                </c:pt>
              </c:strCache>
            </c:strRef>
          </c:tx>
          <c:spPr>
            <a:ln w="25400">
              <a:solidFill>
                <a:srgbClr val="DD0806"/>
              </a:solidFill>
              <a:prstDash val="solid"/>
            </a:ln>
          </c:spPr>
          <c:marker>
            <c:symbol val="none"/>
          </c:marker>
          <c:cat>
            <c:strRef>
              <c:f>'Tablero de Mando'!$I$231:$O$231</c:f>
              <c:strCache>
                <c:ptCount val="7"/>
                <c:pt idx="3">
                  <c:v>ENE-MAR/2014</c:v>
                </c:pt>
                <c:pt idx="4">
                  <c:v>ABR-JUN/2014</c:v>
                </c:pt>
                <c:pt idx="5">
                  <c:v>JUL-SEP/2014</c:v>
                </c:pt>
                <c:pt idx="6">
                  <c:v>OCT-DIC/2014</c:v>
                </c:pt>
              </c:strCache>
            </c:strRef>
          </c:cat>
          <c:val>
            <c:numRef>
              <c:f>'Tablero de Mando'!$I$252:$O$252</c:f>
              <c:numCache>
                <c:formatCode>General</c:formatCode>
                <c:ptCount val="7"/>
                <c:pt idx="3" formatCode="0%">
                  <c:v>0.60000000000000064</c:v>
                </c:pt>
                <c:pt idx="4" formatCode="0%">
                  <c:v>0.60000000000000064</c:v>
                </c:pt>
                <c:pt idx="5" formatCode="0%">
                  <c:v>0.60000000000000064</c:v>
                </c:pt>
                <c:pt idx="6" formatCode="0%">
                  <c:v>0.60000000000000064</c:v>
                </c:pt>
              </c:numCache>
            </c:numRef>
          </c:val>
        </c:ser>
        <c:marker val="1"/>
        <c:axId val="170117376"/>
        <c:axId val="170147840"/>
      </c:lineChart>
      <c:catAx>
        <c:axId val="170117376"/>
        <c:scaling>
          <c:orientation val="minMax"/>
        </c:scaling>
        <c:axPos val="b"/>
        <c:numFmt formatCode="General" sourceLinked="1"/>
        <c:tickLblPos val="nextTo"/>
        <c:spPr>
          <a:ln w="3175">
            <a:solidFill>
              <a:srgbClr val="000000"/>
            </a:solidFill>
            <a:prstDash val="solid"/>
          </a:ln>
        </c:spPr>
        <c:txPr>
          <a:bodyPr rot="-5400000" vert="horz"/>
          <a:lstStyle/>
          <a:p>
            <a:pPr>
              <a:defRPr sz="975" b="1" i="0" u="none" strike="noStrike" baseline="0">
                <a:solidFill>
                  <a:srgbClr val="000000"/>
                </a:solidFill>
                <a:latin typeface="Arial"/>
                <a:ea typeface="Arial"/>
                <a:cs typeface="Arial"/>
              </a:defRPr>
            </a:pPr>
            <a:endParaRPr lang="es-ES"/>
          </a:p>
        </c:txPr>
        <c:crossAx val="170147840"/>
        <c:crosses val="autoZero"/>
        <c:auto val="1"/>
        <c:lblAlgn val="ctr"/>
        <c:lblOffset val="100"/>
        <c:tickLblSkip val="1"/>
        <c:tickMarkSkip val="1"/>
      </c:catAx>
      <c:valAx>
        <c:axId val="170147840"/>
        <c:scaling>
          <c:orientation val="minMax"/>
          <c:max val="1.5"/>
          <c:min val="0"/>
        </c:scaling>
        <c:axPos val="l"/>
        <c:numFmt formatCode="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70117376"/>
        <c:crosses val="autoZero"/>
        <c:crossBetween val="between"/>
        <c:majorUnit val="0.1"/>
        <c:minorUnit val="0.05"/>
      </c:valAx>
      <c:spPr>
        <a:noFill/>
        <a:ln w="25400">
          <a:noFill/>
        </a:ln>
      </c:spPr>
    </c:plotArea>
    <c:legend>
      <c:legendPos val="r"/>
      <c:layout>
        <c:manualLayout>
          <c:xMode val="edge"/>
          <c:yMode val="edge"/>
          <c:x val="0.75829383886255963"/>
          <c:y val="0.24463519313304721"/>
          <c:w val="0.22037914691943128"/>
          <c:h val="0.66952789699570914"/>
        </c:manualLayout>
      </c:layout>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60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200" b="1"/>
            </a:pPr>
            <a:r>
              <a:rPr lang="es-CO" sz="1200" b="1"/>
              <a:t>CREDITOS</a:t>
            </a:r>
            <a:r>
              <a:rPr lang="es-CO" sz="1200" b="1" baseline="0"/>
              <a:t> DESEMBOLSADOS CORTO Y LARGO PLAZO </a:t>
            </a:r>
            <a:endParaRPr lang="es-CO" sz="1200" b="1"/>
          </a:p>
        </c:rich>
      </c:tx>
    </c:title>
    <c:plotArea>
      <c:layout>
        <c:manualLayout>
          <c:layoutTarget val="inner"/>
          <c:xMode val="edge"/>
          <c:yMode val="edge"/>
          <c:x val="0.11447303121031972"/>
          <c:y val="0.14593698175788003"/>
          <c:w val="0.58042967421755953"/>
          <c:h val="0.51362687193057266"/>
        </c:manualLayout>
      </c:layout>
      <c:barChart>
        <c:barDir val="col"/>
        <c:grouping val="clustered"/>
        <c:ser>
          <c:idx val="0"/>
          <c:order val="0"/>
          <c:tx>
            <c:strRef>
              <c:f>DATOS!$A$34</c:f>
              <c:strCache>
                <c:ptCount val="1"/>
                <c:pt idx="0">
                  <c:v>CREDITOS DESEMBOLSADOS CORTO Y LARGO PLAZO</c:v>
                </c:pt>
              </c:strCache>
            </c:strRef>
          </c:tx>
          <c:spPr>
            <a:solidFill>
              <a:srgbClr val="008000"/>
            </a:solidFill>
            <a:ln w="12700">
              <a:solidFill>
                <a:srgbClr val="000000"/>
              </a:solidFill>
              <a:prstDash val="solid"/>
            </a:ln>
          </c:spPr>
          <c:dLbls>
            <c:dLbl>
              <c:idx val="0"/>
              <c:layout>
                <c:manualLayout>
                  <c:x val="-2.5077905724212781E-3"/>
                  <c:y val="-3.0699882651187352E-2"/>
                </c:manualLayout>
              </c:layout>
              <c:dLblPos val="outEnd"/>
              <c:showVal val="1"/>
            </c:dLbl>
            <c:dLbl>
              <c:idx val="1"/>
              <c:layout>
                <c:manualLayout>
                  <c:x val="-8.7387920440580753E-4"/>
                  <c:y val="0.1271004093771555"/>
                </c:manualLayout>
              </c:layout>
              <c:dLblPos val="outEnd"/>
              <c:showVal val="1"/>
            </c:dLbl>
            <c:dLbl>
              <c:idx val="2"/>
              <c:layout>
                <c:manualLayout>
                  <c:x val="4.6376283889369334E-3"/>
                  <c:y val="0.12559081991883975"/>
                </c:manualLayout>
              </c:layout>
              <c:dLblPos val="outEnd"/>
              <c:showVal val="1"/>
            </c:dLbl>
            <c:dLbl>
              <c:idx val="3"/>
              <c:layout>
                <c:manualLayout>
                  <c:x val="4.9504968383670017E-4"/>
                  <c:y val="0.2261482530465049"/>
                </c:manualLayout>
              </c:layout>
              <c:dLblPos val="outEnd"/>
              <c:showVal val="1"/>
            </c:dLbl>
            <c:dLbl>
              <c:idx val="4"/>
              <c:layout>
                <c:manualLayout>
                  <c:x val="-1.3326592948830326E-3"/>
                  <c:y val="3.1390768341814411E-3"/>
                </c:manualLayout>
              </c:layout>
              <c:dLblPos val="outEnd"/>
              <c:showVal val="1"/>
            </c:dLbl>
            <c:dLbl>
              <c:idx val="5"/>
              <c:layout>
                <c:manualLayout>
                  <c:x val="-2.0027831187335175E-3"/>
                  <c:y val="-9.1357181543536524E-3"/>
                </c:manualLayout>
              </c:layout>
              <c:dLblPos val="outEnd"/>
              <c:showVal val="1"/>
            </c:dLbl>
            <c:dLbl>
              <c:idx val="6"/>
              <c:layout>
                <c:manualLayout>
                  <c:x val="-1.5561543528779189E-3"/>
                  <c:y val="1.6705012827696143E-2"/>
                </c:manualLayout>
              </c:layout>
              <c:dLblPos val="outEnd"/>
              <c:showVal val="1"/>
            </c:dLbl>
            <c:dLbl>
              <c:idx val="7"/>
              <c:layout>
                <c:manualLayout>
                  <c:x val="-2.1859876367665201E-3"/>
                  <c:y val="2.5558050532829283E-2"/>
                </c:manualLayout>
              </c:layout>
              <c:dLblPos val="outEnd"/>
              <c:showVal val="1"/>
            </c:dLbl>
            <c:dLbl>
              <c:idx val="8"/>
              <c:layout>
                <c:manualLayout>
                  <c:x val="-4.0136098728824482E-3"/>
                  <c:y val="5.9575058065586876E-2"/>
                </c:manualLayout>
              </c:layout>
              <c:dLblPos val="outEnd"/>
              <c:showVal val="1"/>
            </c:dLbl>
            <c:dLbl>
              <c:idx val="9"/>
              <c:layout>
                <c:manualLayout>
                  <c:x val="-4.6838692820150834E-3"/>
                  <c:y val="6.1491347407106864E-2"/>
                </c:manualLayout>
              </c:layout>
              <c:dLblPos val="outEnd"/>
              <c:showVal val="1"/>
            </c:dLbl>
            <c:dLbl>
              <c:idx val="10"/>
              <c:layout>
                <c:manualLayout>
                  <c:x val="-7.6885568818114034E-3"/>
                  <c:y val="1.7502942083892758E-2"/>
                </c:manualLayout>
              </c:layout>
              <c:dLblPos val="outEnd"/>
              <c:showVal val="1"/>
            </c:dLbl>
            <c:dLbl>
              <c:idx val="11"/>
              <c:layout>
                <c:manualLayout>
                  <c:x val="5.9198627655400867E-3"/>
                  <c:y val="1.7502942083892758E-2"/>
                </c:manualLayout>
              </c:layout>
              <c:dLblPos val="outEnd"/>
              <c:showVal val="1"/>
            </c:dLbl>
            <c:dLbl>
              <c:idx val="12"/>
              <c:layout>
                <c:manualLayout>
                  <c:x val="-3.9958126621454431E-3"/>
                  <c:y val="9.4547418298377758E-3"/>
                </c:manualLayout>
              </c:layout>
              <c:dLblPos val="outEnd"/>
              <c:showVal val="1"/>
            </c:dLbl>
            <c:dLbl>
              <c:idx val="13"/>
              <c:layout>
                <c:manualLayout>
                  <c:x val="-4.3111374084019854E-4"/>
                  <c:y val="-1.9735906905442149E-2"/>
                </c:manualLayout>
              </c:layout>
              <c:dLblPos val="outEnd"/>
              <c:showVal val="1"/>
            </c:dLbl>
            <c:dLbl>
              <c:idx val="14"/>
              <c:layout>
                <c:manualLayout>
                  <c:x val="1.3148240862956844E-3"/>
                  <c:y val="5.5780085011495934E-4"/>
                </c:manualLayout>
              </c:layout>
              <c:dLblPos val="outEnd"/>
              <c:showVal val="1"/>
            </c:dLbl>
            <c:dLbl>
              <c:idx val="15"/>
              <c:layout>
                <c:manualLayout>
                  <c:x val="-4.6137180829273934E-3"/>
                  <c:y val="2.2102989338722077E-3"/>
                </c:manualLayout>
              </c:layout>
              <c:dLblPos val="outEnd"/>
              <c:showVal val="1"/>
            </c:dLbl>
            <c:dLbl>
              <c:idx val="16"/>
              <c:layout>
                <c:manualLayout>
                  <c:xMode val="edge"/>
                  <c:yMode val="edge"/>
                  <c:x val="0.51381909476105458"/>
                  <c:y val="0.33255589959396664"/>
                </c:manualLayout>
              </c:layout>
              <c:dLblPos val="outEnd"/>
              <c:showVal val="1"/>
            </c:dLbl>
            <c:dLbl>
              <c:idx val="17"/>
              <c:layout>
                <c:manualLayout>
                  <c:xMode val="edge"/>
                  <c:yMode val="edge"/>
                  <c:x val="0.57687871093627563"/>
                  <c:y val="0.26254413125839143"/>
                </c:manualLayout>
              </c:layout>
              <c:dLblPos val="outEnd"/>
              <c:showVal val="1"/>
            </c:dLbl>
            <c:numFmt formatCode="_(\$* #,##0_);_(\$* \(#,##0\);_(\$* &quot;-&quot;_);_(@_)" sourceLinked="0"/>
            <c:spPr>
              <a:noFill/>
              <a:ln w="25400">
                <a:noFill/>
              </a:ln>
            </c:spPr>
            <c:txPr>
              <a:bodyPr rot="-5400000" vert="horz"/>
              <a:lstStyle/>
              <a:p>
                <a:pPr algn="ctr">
                  <a:defRPr lang="es-CO" sz="600" b="1" i="0" u="none" strike="noStrike" baseline="0">
                    <a:solidFill>
                      <a:srgbClr val="000000"/>
                    </a:solidFill>
                    <a:latin typeface="Arial"/>
                    <a:ea typeface="Arial"/>
                    <a:cs typeface="Arial"/>
                  </a:defRPr>
                </a:pPr>
                <a:endParaRPr lang="es-ES"/>
              </a:p>
            </c:txPr>
            <c:showVal val="1"/>
          </c:dLbls>
          <c:cat>
            <c:strRef>
              <c:f>DATOS!$B$33:$AC$33</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DATOS!$B$34:$AC$34</c:f>
              <c:numCache>
                <c:formatCode>[$$-240A]\ #,##0</c:formatCode>
                <c:ptCount val="8"/>
                <c:pt idx="0">
                  <c:v>1007138056.2800004</c:v>
                </c:pt>
                <c:pt idx="1">
                  <c:v>1880000000</c:v>
                </c:pt>
                <c:pt idx="2">
                  <c:v>5108696644</c:v>
                </c:pt>
                <c:pt idx="3">
                  <c:v>7855000000</c:v>
                </c:pt>
                <c:pt idx="4">
                  <c:v>1977242636</c:v>
                </c:pt>
                <c:pt idx="5">
                  <c:v>271000000</c:v>
                </c:pt>
                <c:pt idx="6">
                  <c:v>4294717607</c:v>
                </c:pt>
                <c:pt idx="7">
                  <c:v>5273608391</c:v>
                </c:pt>
              </c:numCache>
            </c:numRef>
          </c:val>
        </c:ser>
        <c:gapWidth val="30"/>
        <c:axId val="164601216"/>
        <c:axId val="161420416"/>
      </c:barChart>
      <c:lineChart>
        <c:grouping val="standard"/>
        <c:ser>
          <c:idx val="1"/>
          <c:order val="1"/>
          <c:tx>
            <c:strRef>
              <c:f>DATOS!$A$35</c:f>
              <c:strCache>
                <c:ptCount val="1"/>
                <c:pt idx="0">
                  <c:v>EXCELENTE</c:v>
                </c:pt>
              </c:strCache>
            </c:strRef>
          </c:tx>
          <c:spPr>
            <a:ln w="25400">
              <a:solidFill>
                <a:srgbClr val="92D050"/>
              </a:solidFill>
              <a:prstDash val="solid"/>
            </a:ln>
          </c:spPr>
          <c:marker>
            <c:symbol val="none"/>
          </c:marker>
          <c:cat>
            <c:strRef>
              <c:f>DATOS!$B$33:$AC$33</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DATOS!$B$35:$AC$35</c:f>
              <c:numCache>
                <c:formatCode>[$$-240A]\ #,##0</c:formatCode>
                <c:ptCount val="8"/>
                <c:pt idx="0">
                  <c:v>727200000</c:v>
                </c:pt>
                <c:pt idx="1">
                  <c:v>3000000000</c:v>
                </c:pt>
                <c:pt idx="2">
                  <c:v>3000000000</c:v>
                </c:pt>
                <c:pt idx="3">
                  <c:v>3000000000</c:v>
                </c:pt>
                <c:pt idx="4">
                  <c:v>3000000000</c:v>
                </c:pt>
                <c:pt idx="5">
                  <c:v>3000000000</c:v>
                </c:pt>
                <c:pt idx="6">
                  <c:v>3000000000</c:v>
                </c:pt>
                <c:pt idx="7">
                  <c:v>3000000000</c:v>
                </c:pt>
              </c:numCache>
            </c:numRef>
          </c:val>
        </c:ser>
        <c:ser>
          <c:idx val="2"/>
          <c:order val="2"/>
          <c:tx>
            <c:strRef>
              <c:f>DATOS!$A$36</c:f>
              <c:strCache>
                <c:ptCount val="1"/>
                <c:pt idx="0">
                  <c:v>REGULAR</c:v>
                </c:pt>
              </c:strCache>
            </c:strRef>
          </c:tx>
          <c:spPr>
            <a:ln w="25400">
              <a:solidFill>
                <a:srgbClr val="00B0F0"/>
              </a:solidFill>
              <a:prstDash val="solid"/>
            </a:ln>
          </c:spPr>
          <c:marker>
            <c:symbol val="none"/>
          </c:marker>
          <c:cat>
            <c:strRef>
              <c:f>DATOS!$B$33:$AC$33</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DATOS!$B$36:$AC$36</c:f>
              <c:numCache>
                <c:formatCode>_("$"* #,##0_);_("$"* \(#,##0\);_("$"* "-"??_);_(@_)</c:formatCode>
                <c:ptCount val="8"/>
                <c:pt idx="0">
                  <c:v>581760000</c:v>
                </c:pt>
                <c:pt idx="1">
                  <c:v>2000000000</c:v>
                </c:pt>
                <c:pt idx="2">
                  <c:v>2000000000</c:v>
                </c:pt>
                <c:pt idx="3">
                  <c:v>2000000000</c:v>
                </c:pt>
                <c:pt idx="4">
                  <c:v>2000000000</c:v>
                </c:pt>
                <c:pt idx="5">
                  <c:v>2000000000</c:v>
                </c:pt>
                <c:pt idx="6">
                  <c:v>2000000000</c:v>
                </c:pt>
                <c:pt idx="7">
                  <c:v>2000000000</c:v>
                </c:pt>
              </c:numCache>
            </c:numRef>
          </c:val>
        </c:ser>
        <c:ser>
          <c:idx val="3"/>
          <c:order val="3"/>
          <c:tx>
            <c:strRef>
              <c:f>DATOS!$A$37</c:f>
              <c:strCache>
                <c:ptCount val="1"/>
                <c:pt idx="0">
                  <c:v>DEFICIENTE</c:v>
                </c:pt>
              </c:strCache>
            </c:strRef>
          </c:tx>
          <c:spPr>
            <a:ln w="25400">
              <a:solidFill>
                <a:srgbClr val="DD0806"/>
              </a:solidFill>
              <a:prstDash val="solid"/>
            </a:ln>
          </c:spPr>
          <c:marker>
            <c:symbol val="none"/>
          </c:marker>
          <c:cat>
            <c:strRef>
              <c:f>DATOS!$B$33:$AC$33</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DATOS!$B$37:$AC$37</c:f>
              <c:numCache>
                <c:formatCode>_("$"* #,##0_);_("$"* \(#,##0\);_("$"* "-"??_);_(@_)</c:formatCode>
                <c:ptCount val="8"/>
                <c:pt idx="0">
                  <c:v>436320000</c:v>
                </c:pt>
                <c:pt idx="1">
                  <c:v>1000000000</c:v>
                </c:pt>
                <c:pt idx="2">
                  <c:v>1000000000</c:v>
                </c:pt>
                <c:pt idx="3">
                  <c:v>1000000000</c:v>
                </c:pt>
                <c:pt idx="4">
                  <c:v>1000000000</c:v>
                </c:pt>
                <c:pt idx="5">
                  <c:v>1000000000</c:v>
                </c:pt>
                <c:pt idx="6">
                  <c:v>1000000000</c:v>
                </c:pt>
                <c:pt idx="7">
                  <c:v>1000000000</c:v>
                </c:pt>
              </c:numCache>
            </c:numRef>
          </c:val>
        </c:ser>
        <c:marker val="1"/>
        <c:axId val="164601216"/>
        <c:axId val="161420416"/>
      </c:lineChart>
      <c:catAx>
        <c:axId val="164601216"/>
        <c:scaling>
          <c:orientation val="minMax"/>
        </c:scaling>
        <c:axPos val="b"/>
        <c:numFmt formatCode="mmm/yy" sourceLinked="1"/>
        <c:tickLblPos val="nextTo"/>
        <c:spPr>
          <a:ln w="3175">
            <a:solidFill>
              <a:srgbClr val="000000"/>
            </a:solidFill>
            <a:prstDash val="solid"/>
          </a:ln>
        </c:spPr>
        <c:txPr>
          <a:bodyPr rot="-5400000" vert="horz"/>
          <a:lstStyle/>
          <a:p>
            <a:pPr>
              <a:defRPr lang="es-CO" sz="700" b="1" i="0" u="none" strike="noStrike" baseline="0">
                <a:solidFill>
                  <a:srgbClr val="000000"/>
                </a:solidFill>
                <a:latin typeface="Arial"/>
                <a:ea typeface="Arial"/>
                <a:cs typeface="Arial"/>
              </a:defRPr>
            </a:pPr>
            <a:endParaRPr lang="es-ES"/>
          </a:p>
        </c:txPr>
        <c:crossAx val="161420416"/>
        <c:crosses val="autoZero"/>
        <c:auto val="1"/>
        <c:lblAlgn val="ctr"/>
        <c:lblOffset val="100"/>
        <c:tickLblSkip val="1"/>
        <c:tickMarkSkip val="1"/>
      </c:catAx>
      <c:valAx>
        <c:axId val="161420416"/>
        <c:scaling>
          <c:orientation val="minMax"/>
        </c:scaling>
        <c:axPos val="l"/>
        <c:numFmt formatCode="[$$-240A]\ #,##0" sourceLinked="0"/>
        <c:tickLblPos val="nextTo"/>
        <c:spPr>
          <a:ln w="3175">
            <a:solidFill>
              <a:srgbClr val="000000"/>
            </a:solidFill>
            <a:prstDash val="solid"/>
          </a:ln>
        </c:spPr>
        <c:txPr>
          <a:bodyPr rot="0" vert="horz"/>
          <a:lstStyle/>
          <a:p>
            <a:pPr>
              <a:defRPr lang="es-CO" sz="800" b="0" i="0" u="none" strike="noStrike" baseline="0">
                <a:solidFill>
                  <a:srgbClr val="000000"/>
                </a:solidFill>
                <a:latin typeface="Arial"/>
                <a:ea typeface="Arial"/>
                <a:cs typeface="Arial"/>
              </a:defRPr>
            </a:pPr>
            <a:endParaRPr lang="es-ES"/>
          </a:p>
        </c:txPr>
        <c:crossAx val="164601216"/>
        <c:crosses val="autoZero"/>
        <c:crossBetween val="between"/>
      </c:valAx>
      <c:spPr>
        <a:noFill/>
        <a:ln w="25400">
          <a:noFill/>
        </a:ln>
      </c:spPr>
    </c:plotArea>
    <c:legend>
      <c:legendPos val="r"/>
      <c:layout>
        <c:manualLayout>
          <c:xMode val="edge"/>
          <c:yMode val="edge"/>
          <c:x val="0.73676961381575623"/>
          <c:y val="0.25289196883066828"/>
          <c:w val="0.24934256451998124"/>
          <c:h val="0.60821753395575451"/>
        </c:manualLayout>
      </c:layout>
      <c:spPr>
        <a:solidFill>
          <a:srgbClr val="FFFFFF"/>
        </a:solidFill>
        <a:ln w="25400">
          <a:noFill/>
        </a:ln>
      </c:spPr>
      <c:txPr>
        <a:bodyPr/>
        <a:lstStyle/>
        <a:p>
          <a:pPr>
            <a:defRPr lang="es-CO" sz="67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500" b="0" i="0" u="none" strike="noStrike" baseline="0">
          <a:solidFill>
            <a:srgbClr val="000000"/>
          </a:solidFill>
          <a:latin typeface="Arial"/>
          <a:ea typeface="Arial"/>
          <a:cs typeface="Arial"/>
        </a:defRPr>
      </a:pPr>
      <a:endParaRPr lang="es-ES"/>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sz="1200" b="1"/>
            </a:pPr>
            <a:r>
              <a:rPr lang="es-CO" sz="1200" b="1"/>
              <a:t>CUMPLIMIENTO DE LA POLITICA DE CALIDAD</a:t>
            </a:r>
          </a:p>
        </c:rich>
      </c:tx>
    </c:title>
    <c:plotArea>
      <c:layout>
        <c:manualLayout>
          <c:layoutTarget val="inner"/>
          <c:xMode val="edge"/>
          <c:yMode val="edge"/>
          <c:x val="0.10970486737059019"/>
          <c:y val="7.1875000000000008E-2"/>
          <c:w val="0.63341157236013834"/>
          <c:h val="0.67812500000000409"/>
        </c:manualLayout>
      </c:layout>
      <c:barChart>
        <c:barDir val="col"/>
        <c:grouping val="clustered"/>
        <c:ser>
          <c:idx val="0"/>
          <c:order val="0"/>
          <c:tx>
            <c:strRef>
              <c:f>'Tablero de Mando'!$G$255</c:f>
              <c:strCache>
                <c:ptCount val="1"/>
                <c:pt idx="0">
                  <c:v>CUMPLIMIENTO DE LA POLÍTICA DE CALIDAD</c:v>
                </c:pt>
              </c:strCache>
            </c:strRef>
          </c:tx>
          <c:spPr>
            <a:solidFill>
              <a:srgbClr val="009900"/>
            </a:solidFill>
            <a:ln w="12700">
              <a:solidFill>
                <a:srgbClr val="000000"/>
              </a:solidFill>
              <a:prstDash val="solid"/>
            </a:ln>
          </c:spPr>
          <c:dLbls>
            <c:dLbl>
              <c:idx val="4"/>
              <c:layout>
                <c:manualLayout>
                  <c:x val="-1.6228253435138902E-2"/>
                  <c:y val="-1.8812957737751702E-2"/>
                </c:manualLayout>
              </c:layout>
              <c:dLblPos val="outEnd"/>
              <c:showVal val="1"/>
            </c:dLbl>
            <c:dLbl>
              <c:idx val="5"/>
              <c:layout>
                <c:manualLayout>
                  <c:x val="1.1584861170622048E-2"/>
                  <c:y val="-1.6657773248488422E-2"/>
                </c:manualLayout>
              </c:layout>
              <c:dLblPos val="outEnd"/>
              <c:showVal val="1"/>
            </c:dLbl>
            <c:dLbl>
              <c:idx val="6"/>
              <c:layout>
                <c:manualLayout>
                  <c:x val="1.5994363409491799E-2"/>
                  <c:y val="-4.4791666666666834E-2"/>
                </c:manualLayout>
              </c:layout>
              <c:dLblPos val="outEnd"/>
              <c:showVal val="1"/>
            </c:dLbl>
            <c:dLbl>
              <c:idx val="7"/>
              <c:layout>
                <c:manualLayout>
                  <c:x val="1.0612280022374198E-2"/>
                  <c:y val="-3.6458333333333301E-2"/>
                </c:manualLayout>
              </c:layout>
              <c:dLblPos val="outEnd"/>
              <c:showVal val="1"/>
            </c:dLbl>
            <c:dLbl>
              <c:idx val="12"/>
              <c:spPr>
                <a:noFill/>
                <a:ln w="25400">
                  <a:noFill/>
                </a:ln>
              </c:spPr>
              <c:txPr>
                <a:bodyPr/>
                <a:lstStyle/>
                <a:p>
                  <a:pPr>
                    <a:defRPr sz="525" b="1" i="0" u="none" strike="noStrike" baseline="0">
                      <a:solidFill>
                        <a:srgbClr val="000000"/>
                      </a:solidFill>
                      <a:latin typeface="Arial"/>
                      <a:ea typeface="Arial"/>
                      <a:cs typeface="Arial"/>
                    </a:defRPr>
                  </a:pPr>
                  <a:endParaRPr lang="es-ES"/>
                </a:p>
              </c:txPr>
              <c:dLblPos val="outEnd"/>
              <c:showVal val="1"/>
            </c:dLbl>
            <c:spPr>
              <a:noFill/>
              <a:ln w="25400">
                <a:noFill/>
              </a:ln>
            </c:spPr>
            <c:txPr>
              <a:bodyPr/>
              <a:lstStyle/>
              <a:p>
                <a:pPr>
                  <a:defRPr sz="850" b="1" i="0" u="none" strike="noStrike" baseline="0">
                    <a:solidFill>
                      <a:srgbClr val="000000"/>
                    </a:solidFill>
                    <a:latin typeface="Arial"/>
                    <a:ea typeface="Arial"/>
                    <a:cs typeface="Arial"/>
                  </a:defRPr>
                </a:pPr>
                <a:endParaRPr lang="es-ES"/>
              </a:p>
            </c:txPr>
            <c:showVal val="1"/>
          </c:dLbls>
          <c:cat>
            <c:strRef>
              <c:f>'Tablero de Mando'!$H$254:$O$254</c:f>
              <c:strCache>
                <c:ptCount val="8"/>
                <c:pt idx="4">
                  <c:v>ENE-MAR/2014</c:v>
                </c:pt>
                <c:pt idx="5">
                  <c:v>ABR-JUN/2014</c:v>
                </c:pt>
                <c:pt idx="6">
                  <c:v>JUL-SEP/2014</c:v>
                </c:pt>
                <c:pt idx="7">
                  <c:v>OCT-DIC/2014</c:v>
                </c:pt>
              </c:strCache>
            </c:strRef>
          </c:cat>
          <c:val>
            <c:numRef>
              <c:f>'Tablero de Mando'!$H$255:$O$255</c:f>
              <c:numCache>
                <c:formatCode>General</c:formatCode>
                <c:ptCount val="8"/>
                <c:pt idx="4" formatCode="0%">
                  <c:v>0.93038016705265447</c:v>
                </c:pt>
                <c:pt idx="5" formatCode="0%">
                  <c:v>0.92604528406723197</c:v>
                </c:pt>
                <c:pt idx="6" formatCode="0%">
                  <c:v>0.92797765121699005</c:v>
                </c:pt>
                <c:pt idx="7" formatCode="0%">
                  <c:v>0.92797765121699005</c:v>
                </c:pt>
              </c:numCache>
            </c:numRef>
          </c:val>
        </c:ser>
        <c:gapWidth val="40"/>
        <c:axId val="170183680"/>
        <c:axId val="170210048"/>
      </c:barChart>
      <c:lineChart>
        <c:grouping val="standard"/>
        <c:ser>
          <c:idx val="1"/>
          <c:order val="1"/>
          <c:tx>
            <c:strRef>
              <c:f>'Tablero de Mando'!$G$256</c:f>
              <c:strCache>
                <c:ptCount val="1"/>
                <c:pt idx="0">
                  <c:v>EXCELENTE</c:v>
                </c:pt>
              </c:strCache>
            </c:strRef>
          </c:tx>
          <c:spPr>
            <a:ln w="38100">
              <a:solidFill>
                <a:srgbClr val="006411"/>
              </a:solidFill>
              <a:prstDash val="solid"/>
            </a:ln>
          </c:spPr>
          <c:marker>
            <c:symbol val="none"/>
          </c:marker>
          <c:cat>
            <c:strRef>
              <c:f>'Tablero de Mando'!$H$254:$O$254</c:f>
              <c:strCache>
                <c:ptCount val="8"/>
                <c:pt idx="4">
                  <c:v>ENE-MAR/2014</c:v>
                </c:pt>
                <c:pt idx="5">
                  <c:v>ABR-JUN/2014</c:v>
                </c:pt>
                <c:pt idx="6">
                  <c:v>JUL-SEP/2014</c:v>
                </c:pt>
                <c:pt idx="7">
                  <c:v>OCT-DIC/2014</c:v>
                </c:pt>
              </c:strCache>
            </c:strRef>
          </c:cat>
          <c:val>
            <c:numRef>
              <c:f>'Tablero de Mando'!$H$256:$O$256</c:f>
              <c:numCache>
                <c:formatCode>General</c:formatCode>
                <c:ptCount val="8"/>
                <c:pt idx="4" formatCode="0%">
                  <c:v>1</c:v>
                </c:pt>
                <c:pt idx="5" formatCode="0%">
                  <c:v>1</c:v>
                </c:pt>
                <c:pt idx="6" formatCode="0%">
                  <c:v>1</c:v>
                </c:pt>
                <c:pt idx="7" formatCode="0%">
                  <c:v>1</c:v>
                </c:pt>
              </c:numCache>
            </c:numRef>
          </c:val>
        </c:ser>
        <c:ser>
          <c:idx val="2"/>
          <c:order val="2"/>
          <c:tx>
            <c:strRef>
              <c:f>'Tablero de Mando'!$G$257</c:f>
              <c:strCache>
                <c:ptCount val="1"/>
                <c:pt idx="0">
                  <c:v>REGULAR</c:v>
                </c:pt>
              </c:strCache>
            </c:strRef>
          </c:tx>
          <c:spPr>
            <a:ln w="38100">
              <a:solidFill>
                <a:srgbClr val="3366FF"/>
              </a:solidFill>
              <a:prstDash val="solid"/>
            </a:ln>
          </c:spPr>
          <c:marker>
            <c:symbol val="none"/>
          </c:marker>
          <c:cat>
            <c:strRef>
              <c:f>'Tablero de Mando'!$H$254:$O$254</c:f>
              <c:strCache>
                <c:ptCount val="8"/>
                <c:pt idx="4">
                  <c:v>ENE-MAR/2014</c:v>
                </c:pt>
                <c:pt idx="5">
                  <c:v>ABR-JUN/2014</c:v>
                </c:pt>
                <c:pt idx="6">
                  <c:v>JUL-SEP/2014</c:v>
                </c:pt>
                <c:pt idx="7">
                  <c:v>OCT-DIC/2014</c:v>
                </c:pt>
              </c:strCache>
            </c:strRef>
          </c:cat>
          <c:val>
            <c:numRef>
              <c:f>'Tablero de Mando'!$H$257:$O$257</c:f>
              <c:numCache>
                <c:formatCode>General</c:formatCode>
                <c:ptCount val="8"/>
                <c:pt idx="4" formatCode="0%">
                  <c:v>0.8</c:v>
                </c:pt>
                <c:pt idx="5" formatCode="0%">
                  <c:v>0.8</c:v>
                </c:pt>
                <c:pt idx="6" formatCode="0%">
                  <c:v>0.8</c:v>
                </c:pt>
                <c:pt idx="7" formatCode="0%">
                  <c:v>0.8</c:v>
                </c:pt>
              </c:numCache>
            </c:numRef>
          </c:val>
        </c:ser>
        <c:ser>
          <c:idx val="3"/>
          <c:order val="3"/>
          <c:tx>
            <c:strRef>
              <c:f>'Tablero de Mando'!$G$258</c:f>
              <c:strCache>
                <c:ptCount val="1"/>
                <c:pt idx="0">
                  <c:v>DEFICIENTE</c:v>
                </c:pt>
              </c:strCache>
            </c:strRef>
          </c:tx>
          <c:spPr>
            <a:ln w="38100">
              <a:solidFill>
                <a:srgbClr val="DD0806"/>
              </a:solidFill>
              <a:prstDash val="solid"/>
            </a:ln>
          </c:spPr>
          <c:marker>
            <c:symbol val="none"/>
          </c:marker>
          <c:cat>
            <c:strRef>
              <c:f>'Tablero de Mando'!$H$254:$O$254</c:f>
              <c:strCache>
                <c:ptCount val="8"/>
                <c:pt idx="4">
                  <c:v>ENE-MAR/2014</c:v>
                </c:pt>
                <c:pt idx="5">
                  <c:v>ABR-JUN/2014</c:v>
                </c:pt>
                <c:pt idx="6">
                  <c:v>JUL-SEP/2014</c:v>
                </c:pt>
                <c:pt idx="7">
                  <c:v>OCT-DIC/2014</c:v>
                </c:pt>
              </c:strCache>
            </c:strRef>
          </c:cat>
          <c:val>
            <c:numRef>
              <c:f>'Tablero de Mando'!$H$258:$O$258</c:f>
              <c:numCache>
                <c:formatCode>General</c:formatCode>
                <c:ptCount val="8"/>
                <c:pt idx="4" formatCode="0%">
                  <c:v>0.60000000000000064</c:v>
                </c:pt>
                <c:pt idx="5" formatCode="0%">
                  <c:v>0.60000000000000064</c:v>
                </c:pt>
                <c:pt idx="6" formatCode="0%">
                  <c:v>0.60000000000000064</c:v>
                </c:pt>
                <c:pt idx="7" formatCode="0%">
                  <c:v>0.60000000000000064</c:v>
                </c:pt>
              </c:numCache>
            </c:numRef>
          </c:val>
        </c:ser>
        <c:marker val="1"/>
        <c:axId val="170183680"/>
        <c:axId val="170210048"/>
      </c:lineChart>
      <c:catAx>
        <c:axId val="170183680"/>
        <c:scaling>
          <c:orientation val="minMax"/>
        </c:scaling>
        <c:axPos val="b"/>
        <c:numFmt formatCode="General" sourceLinked="1"/>
        <c:tickLblPos val="nextTo"/>
        <c:spPr>
          <a:ln w="3175">
            <a:solidFill>
              <a:srgbClr val="000000"/>
            </a:solidFill>
            <a:prstDash val="solid"/>
          </a:ln>
        </c:spPr>
        <c:txPr>
          <a:bodyPr rot="-5400000" vert="horz"/>
          <a:lstStyle/>
          <a:p>
            <a:pPr>
              <a:defRPr sz="950" b="1" i="0" u="none" strike="noStrike" baseline="0">
                <a:solidFill>
                  <a:srgbClr val="000000"/>
                </a:solidFill>
                <a:latin typeface="Arial"/>
                <a:ea typeface="Arial"/>
                <a:cs typeface="Arial"/>
              </a:defRPr>
            </a:pPr>
            <a:endParaRPr lang="es-ES"/>
          </a:p>
        </c:txPr>
        <c:crossAx val="170210048"/>
        <c:crosses val="autoZero"/>
        <c:auto val="1"/>
        <c:lblAlgn val="ctr"/>
        <c:lblOffset val="100"/>
        <c:tickLblSkip val="1"/>
        <c:tickMarkSkip val="1"/>
      </c:catAx>
      <c:valAx>
        <c:axId val="170210048"/>
        <c:scaling>
          <c:orientation val="minMax"/>
          <c:max val="1.4"/>
        </c:scaling>
        <c:axPos val="l"/>
        <c:numFmt formatCode="0%" sourceLinked="0"/>
        <c:tickLblPos val="nextTo"/>
        <c:spPr>
          <a:ln w="3175">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es-ES"/>
          </a:p>
        </c:txPr>
        <c:crossAx val="170183680"/>
        <c:crosses val="autoZero"/>
        <c:crossBetween val="between"/>
      </c:valAx>
      <c:spPr>
        <a:noFill/>
        <a:ln w="25400">
          <a:noFill/>
        </a:ln>
      </c:spPr>
    </c:plotArea>
    <c:legend>
      <c:legendPos val="r"/>
      <c:layout>
        <c:manualLayout>
          <c:xMode val="edge"/>
          <c:yMode val="edge"/>
          <c:x val="0.7732698776614757"/>
          <c:y val="0.22123893805309741"/>
          <c:w val="0.1933179862063783"/>
          <c:h val="0.71238972893874997"/>
        </c:manualLayout>
      </c:layout>
      <c:spPr>
        <a:solidFill>
          <a:srgbClr val="FFFFFF"/>
        </a:solidFill>
        <a:ln w="25400">
          <a:noFill/>
        </a:ln>
      </c:spPr>
      <c:txPr>
        <a:bodyPr/>
        <a:lstStyle/>
        <a:p>
          <a:pPr>
            <a:defRPr sz="505" b="1"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es-ES"/>
  <c:roundedCorners val="1"/>
  <c:chart>
    <c:plotArea>
      <c:layout>
        <c:manualLayout>
          <c:layoutTarget val="inner"/>
          <c:xMode val="edge"/>
          <c:yMode val="edge"/>
          <c:x val="6.2630480167014599E-2"/>
          <c:y val="5.0473186119873802E-2"/>
          <c:w val="0.85140832290131152"/>
          <c:h val="0.51235715409390858"/>
        </c:manualLayout>
      </c:layout>
      <c:lineChart>
        <c:grouping val="standard"/>
        <c:ser>
          <c:idx val="4"/>
          <c:order val="0"/>
          <c:tx>
            <c:strRef>
              <c:f>'Procesos Objetivos'!$G$3</c:f>
              <c:strCache>
                <c:ptCount val="1"/>
                <c:pt idx="0">
                  <c:v>ABR-JUN/2014</c:v>
                </c:pt>
              </c:strCache>
            </c:strRef>
          </c:tx>
          <c:spPr>
            <a:ln w="25400">
              <a:solidFill>
                <a:srgbClr val="FCF305"/>
              </a:solidFill>
              <a:prstDash val="solid"/>
            </a:ln>
          </c:spPr>
          <c:marker>
            <c:symbol val="none"/>
          </c:marker>
          <c:dLbls>
            <c:spPr>
              <a:noFill/>
              <a:ln w="25400">
                <a:noFill/>
              </a:ln>
            </c:spPr>
            <c:txPr>
              <a:bodyPr/>
              <a:lstStyle/>
              <a:p>
                <a:pPr>
                  <a:defRPr sz="700" b="0" i="0" u="none" strike="noStrike" baseline="0">
                    <a:solidFill>
                      <a:srgbClr val="000000"/>
                    </a:solidFill>
                    <a:latin typeface="Arial"/>
                    <a:ea typeface="Arial"/>
                    <a:cs typeface="Arial"/>
                  </a:defRPr>
                </a:pPr>
                <a:endParaRPr lang="es-ES"/>
              </a:p>
            </c:txPr>
            <c:showVal val="1"/>
          </c:dLbls>
          <c:cat>
            <c:strRef>
              <c:f>'Procesos Objetivos'!$A$4:$A$17</c:f>
              <c:strCache>
                <c:ptCount val="14"/>
                <c:pt idx="0">
                  <c:v>G. GERENCIAL</c:v>
                </c:pt>
                <c:pt idx="1">
                  <c:v>G. COMERCIAL</c:v>
                </c:pt>
                <c:pt idx="2">
                  <c:v>G. CREDITOS</c:v>
                </c:pt>
                <c:pt idx="3">
                  <c:v>CAPT Y COLOCACION RF</c:v>
                </c:pt>
                <c:pt idx="4">
                  <c:v>ADMON CONVENIOS</c:v>
                </c:pt>
                <c:pt idx="5">
                  <c:v>G.CARTERA</c:v>
                </c:pt>
                <c:pt idx="6">
                  <c:v>G. CONTABILIDAD</c:v>
                </c:pt>
                <c:pt idx="7">
                  <c:v>G. COMPRAS E INVENTARIO</c:v>
                </c:pt>
                <c:pt idx="8">
                  <c:v>ADMON Y FORM RH</c:v>
                </c:pt>
                <c:pt idx="9">
                  <c:v>G. ASESORIA JURIDICA</c:v>
                </c:pt>
                <c:pt idx="10">
                  <c:v>G. ARCHIVO</c:v>
                </c:pt>
                <c:pt idx="11">
                  <c:v>SISTEMAS</c:v>
                </c:pt>
                <c:pt idx="12">
                  <c:v>PLANEACION, MEJ. Y ADMINISTRACION DEL S.G.C.</c:v>
                </c:pt>
                <c:pt idx="13">
                  <c:v>CONTROL INTERNO</c:v>
                </c:pt>
              </c:strCache>
            </c:strRef>
          </c:cat>
          <c:val>
            <c:numRef>
              <c:f>'Procesos Objetivos'!$G$4:$G$17</c:f>
              <c:numCache>
                <c:formatCode>0%</c:formatCode>
                <c:ptCount val="14"/>
                <c:pt idx="0">
                  <c:v>1</c:v>
                </c:pt>
                <c:pt idx="1">
                  <c:v>1</c:v>
                </c:pt>
                <c:pt idx="2">
                  <c:v>0.94000000000000061</c:v>
                </c:pt>
                <c:pt idx="3">
                  <c:v>0.74418604651162801</c:v>
                </c:pt>
                <c:pt idx="4">
                  <c:v>1</c:v>
                </c:pt>
                <c:pt idx="5">
                  <c:v>0.71428571428571463</c:v>
                </c:pt>
                <c:pt idx="6">
                  <c:v>1</c:v>
                </c:pt>
                <c:pt idx="7">
                  <c:v>1</c:v>
                </c:pt>
                <c:pt idx="8">
                  <c:v>1</c:v>
                </c:pt>
                <c:pt idx="9">
                  <c:v>1</c:v>
                </c:pt>
                <c:pt idx="10">
                  <c:v>1</c:v>
                </c:pt>
                <c:pt idx="11">
                  <c:v>0.72307692307692251</c:v>
                </c:pt>
                <c:pt idx="12">
                  <c:v>1</c:v>
                </c:pt>
                <c:pt idx="13">
                  <c:v>1</c:v>
                </c:pt>
              </c:numCache>
            </c:numRef>
          </c:val>
        </c:ser>
        <c:ser>
          <c:idx val="5"/>
          <c:order val="1"/>
          <c:tx>
            <c:strRef>
              <c:f>'Procesos Objetivos'!$J$3</c:f>
              <c:strCache>
                <c:ptCount val="1"/>
                <c:pt idx="0">
                  <c:v>EXCELENTE</c:v>
                </c:pt>
              </c:strCache>
            </c:strRef>
          </c:tx>
          <c:spPr>
            <a:ln w="25400">
              <a:solidFill>
                <a:srgbClr val="339966"/>
              </a:solidFill>
              <a:prstDash val="solid"/>
            </a:ln>
          </c:spPr>
          <c:marker>
            <c:symbol val="none"/>
          </c:marker>
          <c:cat>
            <c:strRef>
              <c:f>'Procesos Objetivos'!$A$4:$A$17</c:f>
              <c:strCache>
                <c:ptCount val="14"/>
                <c:pt idx="0">
                  <c:v>G. GERENCIAL</c:v>
                </c:pt>
                <c:pt idx="1">
                  <c:v>G. COMERCIAL</c:v>
                </c:pt>
                <c:pt idx="2">
                  <c:v>G. CREDITOS</c:v>
                </c:pt>
                <c:pt idx="3">
                  <c:v>CAPT Y COLOCACION RF</c:v>
                </c:pt>
                <c:pt idx="4">
                  <c:v>ADMON CONVENIOS</c:v>
                </c:pt>
                <c:pt idx="5">
                  <c:v>G.CARTERA</c:v>
                </c:pt>
                <c:pt idx="6">
                  <c:v>G. CONTABILIDAD</c:v>
                </c:pt>
                <c:pt idx="7">
                  <c:v>G. COMPRAS E INVENTARIO</c:v>
                </c:pt>
                <c:pt idx="8">
                  <c:v>ADMON Y FORM RH</c:v>
                </c:pt>
                <c:pt idx="9">
                  <c:v>G. ASESORIA JURIDICA</c:v>
                </c:pt>
                <c:pt idx="10">
                  <c:v>G. ARCHIVO</c:v>
                </c:pt>
                <c:pt idx="11">
                  <c:v>SISTEMAS</c:v>
                </c:pt>
                <c:pt idx="12">
                  <c:v>PLANEACION, MEJ. Y ADMINISTRACION DEL S.G.C.</c:v>
                </c:pt>
                <c:pt idx="13">
                  <c:v>CONTROL INTERNO</c:v>
                </c:pt>
              </c:strCache>
            </c:strRef>
          </c:cat>
          <c:val>
            <c:numRef>
              <c:f>'Procesos Objetivos'!$J$4:$J$17</c:f>
              <c:numCache>
                <c:formatCode>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er>
        <c:ser>
          <c:idx val="6"/>
          <c:order val="2"/>
          <c:tx>
            <c:strRef>
              <c:f>'Procesos Objetivos'!$K$3</c:f>
              <c:strCache>
                <c:ptCount val="1"/>
                <c:pt idx="0">
                  <c:v>REGULAR</c:v>
                </c:pt>
              </c:strCache>
            </c:strRef>
          </c:tx>
          <c:spPr>
            <a:ln w="25400">
              <a:solidFill>
                <a:srgbClr val="3366FF"/>
              </a:solidFill>
              <a:prstDash val="solid"/>
            </a:ln>
          </c:spPr>
          <c:marker>
            <c:symbol val="none"/>
          </c:marker>
          <c:cat>
            <c:strRef>
              <c:f>'Procesos Objetivos'!$A$4:$A$17</c:f>
              <c:strCache>
                <c:ptCount val="14"/>
                <c:pt idx="0">
                  <c:v>G. GERENCIAL</c:v>
                </c:pt>
                <c:pt idx="1">
                  <c:v>G. COMERCIAL</c:v>
                </c:pt>
                <c:pt idx="2">
                  <c:v>G. CREDITOS</c:v>
                </c:pt>
                <c:pt idx="3">
                  <c:v>CAPT Y COLOCACION RF</c:v>
                </c:pt>
                <c:pt idx="4">
                  <c:v>ADMON CONVENIOS</c:v>
                </c:pt>
                <c:pt idx="5">
                  <c:v>G.CARTERA</c:v>
                </c:pt>
                <c:pt idx="6">
                  <c:v>G. CONTABILIDAD</c:v>
                </c:pt>
                <c:pt idx="7">
                  <c:v>G. COMPRAS E INVENTARIO</c:v>
                </c:pt>
                <c:pt idx="8">
                  <c:v>ADMON Y FORM RH</c:v>
                </c:pt>
                <c:pt idx="9">
                  <c:v>G. ASESORIA JURIDICA</c:v>
                </c:pt>
                <c:pt idx="10">
                  <c:v>G. ARCHIVO</c:v>
                </c:pt>
                <c:pt idx="11">
                  <c:v>SISTEMAS</c:v>
                </c:pt>
                <c:pt idx="12">
                  <c:v>PLANEACION, MEJ. Y ADMINISTRACION DEL S.G.C.</c:v>
                </c:pt>
                <c:pt idx="13">
                  <c:v>CONTROL INTERNO</c:v>
                </c:pt>
              </c:strCache>
            </c:strRef>
          </c:cat>
          <c:val>
            <c:numRef>
              <c:f>'Procesos Objetivos'!$K$4:$K$17</c:f>
              <c:numCache>
                <c:formatCode>0%</c:formatCode>
                <c:ptCount val="14"/>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numCache>
            </c:numRef>
          </c:val>
        </c:ser>
        <c:ser>
          <c:idx val="7"/>
          <c:order val="3"/>
          <c:tx>
            <c:strRef>
              <c:f>'Procesos Objetivos'!$L$3</c:f>
              <c:strCache>
                <c:ptCount val="1"/>
                <c:pt idx="0">
                  <c:v>DEFICIENTE</c:v>
                </c:pt>
              </c:strCache>
            </c:strRef>
          </c:tx>
          <c:spPr>
            <a:ln w="25400">
              <a:solidFill>
                <a:srgbClr val="DD0806"/>
              </a:solidFill>
              <a:prstDash val="solid"/>
            </a:ln>
          </c:spPr>
          <c:marker>
            <c:symbol val="none"/>
          </c:marker>
          <c:cat>
            <c:strRef>
              <c:f>'Procesos Objetivos'!$A$4:$A$17</c:f>
              <c:strCache>
                <c:ptCount val="14"/>
                <c:pt idx="0">
                  <c:v>G. GERENCIAL</c:v>
                </c:pt>
                <c:pt idx="1">
                  <c:v>G. COMERCIAL</c:v>
                </c:pt>
                <c:pt idx="2">
                  <c:v>G. CREDITOS</c:v>
                </c:pt>
                <c:pt idx="3">
                  <c:v>CAPT Y COLOCACION RF</c:v>
                </c:pt>
                <c:pt idx="4">
                  <c:v>ADMON CONVENIOS</c:v>
                </c:pt>
                <c:pt idx="5">
                  <c:v>G.CARTERA</c:v>
                </c:pt>
                <c:pt idx="6">
                  <c:v>G. CONTABILIDAD</c:v>
                </c:pt>
                <c:pt idx="7">
                  <c:v>G. COMPRAS E INVENTARIO</c:v>
                </c:pt>
                <c:pt idx="8">
                  <c:v>ADMON Y FORM RH</c:v>
                </c:pt>
                <c:pt idx="9">
                  <c:v>G. ASESORIA JURIDICA</c:v>
                </c:pt>
                <c:pt idx="10">
                  <c:v>G. ARCHIVO</c:v>
                </c:pt>
                <c:pt idx="11">
                  <c:v>SISTEMAS</c:v>
                </c:pt>
                <c:pt idx="12">
                  <c:v>PLANEACION, MEJ. Y ADMINISTRACION DEL S.G.C.</c:v>
                </c:pt>
                <c:pt idx="13">
                  <c:v>CONTROL INTERNO</c:v>
                </c:pt>
              </c:strCache>
            </c:strRef>
          </c:cat>
          <c:val>
            <c:numRef>
              <c:f>'Procesos Objetivos'!$L$4:$L$17</c:f>
              <c:numCache>
                <c:formatCode>0%</c:formatCode>
                <c:ptCount val="14"/>
                <c:pt idx="0">
                  <c:v>0.60000000000000064</c:v>
                </c:pt>
                <c:pt idx="1">
                  <c:v>0.60000000000000064</c:v>
                </c:pt>
                <c:pt idx="2">
                  <c:v>0.60000000000000064</c:v>
                </c:pt>
                <c:pt idx="3">
                  <c:v>0.60000000000000064</c:v>
                </c:pt>
                <c:pt idx="4">
                  <c:v>0.60000000000000064</c:v>
                </c:pt>
                <c:pt idx="5">
                  <c:v>0.60000000000000064</c:v>
                </c:pt>
                <c:pt idx="6">
                  <c:v>0.60000000000000064</c:v>
                </c:pt>
                <c:pt idx="7">
                  <c:v>0.60000000000000064</c:v>
                </c:pt>
                <c:pt idx="8">
                  <c:v>0.60000000000000064</c:v>
                </c:pt>
                <c:pt idx="9">
                  <c:v>0.60000000000000064</c:v>
                </c:pt>
                <c:pt idx="10">
                  <c:v>0.60000000000000064</c:v>
                </c:pt>
                <c:pt idx="11">
                  <c:v>0.60000000000000064</c:v>
                </c:pt>
                <c:pt idx="12">
                  <c:v>0.60000000000000064</c:v>
                </c:pt>
                <c:pt idx="13">
                  <c:v>0.60000000000000064</c:v>
                </c:pt>
              </c:numCache>
            </c:numRef>
          </c:val>
        </c:ser>
        <c:marker val="1"/>
        <c:axId val="170236928"/>
        <c:axId val="170259200"/>
      </c:lineChart>
      <c:catAx>
        <c:axId val="170236928"/>
        <c:scaling>
          <c:orientation val="minMax"/>
        </c:scaling>
        <c:axPos val="b"/>
        <c:numFmt formatCode="General" sourceLinked="1"/>
        <c:tickLblPos val="nextTo"/>
        <c:spPr>
          <a:ln w="3175">
            <a:solidFill>
              <a:srgbClr val="000000"/>
            </a:solidFill>
            <a:prstDash val="solid"/>
          </a:ln>
        </c:spPr>
        <c:txPr>
          <a:bodyPr rot="-5400000" vert="horz"/>
          <a:lstStyle/>
          <a:p>
            <a:pPr>
              <a:defRPr sz="700" b="1" i="0" u="none" strike="noStrike" baseline="0">
                <a:solidFill>
                  <a:srgbClr val="000000"/>
                </a:solidFill>
                <a:latin typeface="Arial"/>
                <a:ea typeface="Arial"/>
                <a:cs typeface="Arial"/>
              </a:defRPr>
            </a:pPr>
            <a:endParaRPr lang="es-ES"/>
          </a:p>
        </c:txPr>
        <c:crossAx val="170259200"/>
        <c:crosses val="autoZero"/>
        <c:auto val="1"/>
        <c:lblAlgn val="ctr"/>
        <c:lblOffset val="100"/>
        <c:tickLblSkip val="1"/>
        <c:tickMarkSkip val="1"/>
      </c:catAx>
      <c:valAx>
        <c:axId val="170259200"/>
        <c:scaling>
          <c:orientation val="minMax"/>
          <c:max val="1.7"/>
        </c:scaling>
        <c:axPos val="l"/>
        <c:numFmt formatCode="0%"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170236928"/>
        <c:crosses val="autoZero"/>
        <c:crossBetween val="between"/>
      </c:valAx>
      <c:spPr>
        <a:noFill/>
        <a:ln w="25400">
          <a:noFill/>
        </a:ln>
      </c:spPr>
    </c:plotArea>
    <c:legend>
      <c:legendPos val="r"/>
      <c:layout>
        <c:manualLayout>
          <c:xMode val="edge"/>
          <c:yMode val="edge"/>
          <c:x val="0.16067510611032521"/>
          <c:y val="3.0443533766268852E-2"/>
          <c:w val="0.62558102911554603"/>
          <c:h val="0.111607142857143"/>
        </c:manualLayout>
      </c:layout>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70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roundedCorners val="1"/>
  <c:chart>
    <c:title>
      <c:tx>
        <c:rich>
          <a:bodyPr/>
          <a:lstStyle/>
          <a:p>
            <a:pPr>
              <a:defRPr sz="1600"/>
            </a:pPr>
            <a:r>
              <a:rPr lang="es-CO" sz="1600"/>
              <a:t>CREDITOS</a:t>
            </a:r>
            <a:r>
              <a:rPr lang="es-CO" sz="1600" baseline="0"/>
              <a:t> ACUMULADOS CORTO Y LARGO PLAZO</a:t>
            </a:r>
            <a:endParaRPr lang="es-CO" sz="1600"/>
          </a:p>
        </c:rich>
      </c:tx>
    </c:title>
    <c:plotArea>
      <c:layout>
        <c:manualLayout>
          <c:layoutTarget val="inner"/>
          <c:xMode val="edge"/>
          <c:yMode val="edge"/>
          <c:x val="0.13467592090056213"/>
          <c:y val="0.23018658183820251"/>
          <c:w val="0.39118550916215661"/>
          <c:h val="0.4489185244741189"/>
        </c:manualLayout>
      </c:layout>
      <c:barChart>
        <c:barDir val="col"/>
        <c:grouping val="clustered"/>
        <c:ser>
          <c:idx val="0"/>
          <c:order val="0"/>
          <c:tx>
            <c:strRef>
              <c:f>DATOS!$A$40</c:f>
              <c:strCache>
                <c:ptCount val="1"/>
                <c:pt idx="0">
                  <c:v>CREDITOS ACUMULADO CORTO Y LARGO PLAZO</c:v>
                </c:pt>
              </c:strCache>
            </c:strRef>
          </c:tx>
          <c:spPr>
            <a:solidFill>
              <a:srgbClr val="008000"/>
            </a:solidFill>
            <a:ln w="12700">
              <a:solidFill>
                <a:srgbClr val="000000"/>
              </a:solidFill>
              <a:prstDash val="solid"/>
            </a:ln>
          </c:spPr>
          <c:dLbls>
            <c:dLbl>
              <c:idx val="0"/>
              <c:layout>
                <c:manualLayout>
                  <c:x val="0"/>
                  <c:y val="0.25749167591565036"/>
                </c:manualLayout>
              </c:layout>
              <c:showVal val="1"/>
            </c:dLbl>
            <c:dLbl>
              <c:idx val="1"/>
              <c:layout>
                <c:manualLayout>
                  <c:x val="-1.6709486304070543E-3"/>
                  <c:y val="0.26778120548471951"/>
                </c:manualLayout>
              </c:layout>
              <c:dLblPos val="outEnd"/>
              <c:showVal val="1"/>
            </c:dLbl>
            <c:dLbl>
              <c:idx val="2"/>
              <c:layout>
                <c:manualLayout>
                  <c:x val="3.1188199351560191E-3"/>
                  <c:y val="0.30627736460800337"/>
                </c:manualLayout>
              </c:layout>
              <c:dLblPos val="outEnd"/>
              <c:showVal val="1"/>
            </c:dLbl>
            <c:dLbl>
              <c:idx val="3"/>
              <c:layout>
                <c:manualLayout>
                  <c:x val="0"/>
                  <c:y val="0.33740288568257709"/>
                </c:manualLayout>
              </c:layout>
              <c:showVal val="1"/>
            </c:dLbl>
            <c:dLbl>
              <c:idx val="4"/>
              <c:layout>
                <c:manualLayout>
                  <c:x val="0"/>
                  <c:y val="0.35516093229744888"/>
                </c:manualLayout>
              </c:layout>
              <c:showVal val="1"/>
            </c:dLbl>
            <c:dLbl>
              <c:idx val="5"/>
              <c:layout>
                <c:manualLayout>
                  <c:x val="0"/>
                  <c:y val="0.35516093229744888"/>
                </c:manualLayout>
              </c:layout>
              <c:showVal val="1"/>
            </c:dLbl>
            <c:dLbl>
              <c:idx val="6"/>
              <c:layout>
                <c:manualLayout>
                  <c:x val="-1.1027438920924866E-16"/>
                  <c:y val="0.35516093229744888"/>
                </c:manualLayout>
              </c:layout>
              <c:showVal val="1"/>
            </c:dLbl>
            <c:dLbl>
              <c:idx val="7"/>
              <c:layout>
                <c:manualLayout>
                  <c:x val="0"/>
                  <c:y val="0.39511653718091155"/>
                </c:manualLayout>
              </c:layout>
              <c:showVal val="1"/>
            </c:dLbl>
            <c:spPr>
              <a:noFill/>
              <a:ln w="25400">
                <a:noFill/>
              </a:ln>
            </c:spPr>
            <c:txPr>
              <a:bodyPr rot="-5400000" vert="horz"/>
              <a:lstStyle/>
              <a:p>
                <a:pPr>
                  <a:defRPr lang="es-CO" sz="800" b="1">
                    <a:solidFill>
                      <a:schemeClr val="bg1"/>
                    </a:solidFill>
                  </a:defRPr>
                </a:pPr>
                <a:endParaRPr lang="es-ES"/>
              </a:p>
            </c:txPr>
            <c:showVal val="1"/>
          </c:dLbls>
          <c:cat>
            <c:strRef>
              <c:f>DATOS!$B$39:$AC$39</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DATOS!$B$40:$AC$40</c:f>
              <c:numCache>
                <c:formatCode>[$$-240A]\ #,##0</c:formatCode>
                <c:ptCount val="8"/>
                <c:pt idx="0">
                  <c:v>59862880259.25</c:v>
                </c:pt>
                <c:pt idx="1">
                  <c:v>61742880259.25</c:v>
                </c:pt>
                <c:pt idx="2">
                  <c:v>66851576903.25</c:v>
                </c:pt>
                <c:pt idx="3">
                  <c:v>74706576903.25</c:v>
                </c:pt>
                <c:pt idx="4">
                  <c:v>76683819539.25</c:v>
                </c:pt>
                <c:pt idx="5">
                  <c:v>76954819539.25</c:v>
                </c:pt>
                <c:pt idx="6">
                  <c:v>81249537146.25</c:v>
                </c:pt>
                <c:pt idx="7">
                  <c:v>86523145537.25</c:v>
                </c:pt>
              </c:numCache>
            </c:numRef>
          </c:val>
        </c:ser>
        <c:axId val="161456512"/>
        <c:axId val="161458048"/>
      </c:barChart>
      <c:lineChart>
        <c:grouping val="standard"/>
        <c:ser>
          <c:idx val="1"/>
          <c:order val="1"/>
          <c:tx>
            <c:strRef>
              <c:f>DATOS!$A$41</c:f>
              <c:strCache>
                <c:ptCount val="1"/>
                <c:pt idx="0">
                  <c:v>EXCELENTE</c:v>
                </c:pt>
              </c:strCache>
            </c:strRef>
          </c:tx>
          <c:spPr>
            <a:ln w="25400">
              <a:solidFill>
                <a:srgbClr val="92D050"/>
              </a:solidFill>
              <a:prstDash val="solid"/>
            </a:ln>
          </c:spPr>
          <c:marker>
            <c:symbol val="none"/>
          </c:marker>
          <c:cat>
            <c:strRef>
              <c:f>DATOS!$B$39:$AC$39</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DATOS!$B$41:$AC$41</c:f>
              <c:numCache>
                <c:formatCode>[$$-240A]\ #,##0</c:formatCode>
                <c:ptCount val="8"/>
                <c:pt idx="0">
                  <c:v>60000000000</c:v>
                </c:pt>
                <c:pt idx="1">
                  <c:v>60000000000</c:v>
                </c:pt>
                <c:pt idx="2">
                  <c:v>60000000000</c:v>
                </c:pt>
                <c:pt idx="3">
                  <c:v>60000000000</c:v>
                </c:pt>
                <c:pt idx="4">
                  <c:v>60000000000</c:v>
                </c:pt>
                <c:pt idx="5">
                  <c:v>60000000000</c:v>
                </c:pt>
                <c:pt idx="6">
                  <c:v>60000000000</c:v>
                </c:pt>
                <c:pt idx="7">
                  <c:v>60000000000</c:v>
                </c:pt>
              </c:numCache>
            </c:numRef>
          </c:val>
        </c:ser>
        <c:ser>
          <c:idx val="2"/>
          <c:order val="2"/>
          <c:tx>
            <c:strRef>
              <c:f>DATOS!$A$42</c:f>
              <c:strCache>
                <c:ptCount val="1"/>
                <c:pt idx="0">
                  <c:v>REGULAR</c:v>
                </c:pt>
              </c:strCache>
            </c:strRef>
          </c:tx>
          <c:spPr>
            <a:ln w="25400">
              <a:solidFill>
                <a:srgbClr val="00B0F0"/>
              </a:solidFill>
              <a:prstDash val="solid"/>
            </a:ln>
          </c:spPr>
          <c:marker>
            <c:symbol val="none"/>
          </c:marker>
          <c:cat>
            <c:strRef>
              <c:f>DATOS!$B$39:$AC$39</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DATOS!$B$42:$AC$42</c:f>
              <c:numCache>
                <c:formatCode>[$$-240A]\ #,##0</c:formatCode>
                <c:ptCount val="8"/>
                <c:pt idx="0">
                  <c:v>48581760000</c:v>
                </c:pt>
                <c:pt idx="1">
                  <c:v>50000000000</c:v>
                </c:pt>
                <c:pt idx="2">
                  <c:v>50000000000</c:v>
                </c:pt>
                <c:pt idx="3">
                  <c:v>50000000000</c:v>
                </c:pt>
                <c:pt idx="4">
                  <c:v>50000000000</c:v>
                </c:pt>
                <c:pt idx="5">
                  <c:v>50000000000</c:v>
                </c:pt>
                <c:pt idx="6">
                  <c:v>50000000000</c:v>
                </c:pt>
                <c:pt idx="7">
                  <c:v>50000000000</c:v>
                </c:pt>
              </c:numCache>
            </c:numRef>
          </c:val>
        </c:ser>
        <c:ser>
          <c:idx val="3"/>
          <c:order val="3"/>
          <c:tx>
            <c:strRef>
              <c:f>DATOS!$A$43</c:f>
              <c:strCache>
                <c:ptCount val="1"/>
                <c:pt idx="0">
                  <c:v>DEFICIENTE</c:v>
                </c:pt>
              </c:strCache>
            </c:strRef>
          </c:tx>
          <c:spPr>
            <a:ln w="25400">
              <a:solidFill>
                <a:srgbClr val="DD0806"/>
              </a:solidFill>
              <a:prstDash val="solid"/>
            </a:ln>
          </c:spPr>
          <c:marker>
            <c:symbol val="none"/>
          </c:marker>
          <c:cat>
            <c:strRef>
              <c:f>DATOS!$B$39:$AC$39</c:f>
              <c:strCache>
                <c:ptCount val="8"/>
                <c:pt idx="0">
                  <c:v>ENE-MAR 2013</c:v>
                </c:pt>
                <c:pt idx="1">
                  <c:v>ABR - JUN/2013</c:v>
                </c:pt>
                <c:pt idx="2">
                  <c:v>JUL-SEP/2013</c:v>
                </c:pt>
                <c:pt idx="3">
                  <c:v>OCT-DIC/2013</c:v>
                </c:pt>
                <c:pt idx="4">
                  <c:v>ENE-MAR 2014</c:v>
                </c:pt>
                <c:pt idx="5">
                  <c:v>ABR-JUN 2014</c:v>
                </c:pt>
                <c:pt idx="6">
                  <c:v>JUL-SEP 2014</c:v>
                </c:pt>
                <c:pt idx="7">
                  <c:v>OCT-DIC 2014</c:v>
                </c:pt>
              </c:strCache>
            </c:strRef>
          </c:cat>
          <c:val>
            <c:numRef>
              <c:f>DATOS!$B$43:$AC$43</c:f>
              <c:numCache>
                <c:formatCode>[$$-240A]\ #,##0</c:formatCode>
                <c:ptCount val="8"/>
                <c:pt idx="0">
                  <c:v>40000000000</c:v>
                </c:pt>
                <c:pt idx="1">
                  <c:v>40000000000</c:v>
                </c:pt>
                <c:pt idx="2">
                  <c:v>40000000000</c:v>
                </c:pt>
                <c:pt idx="3">
                  <c:v>40000000000</c:v>
                </c:pt>
                <c:pt idx="4">
                  <c:v>40000000000</c:v>
                </c:pt>
                <c:pt idx="5">
                  <c:v>40000000000</c:v>
                </c:pt>
                <c:pt idx="6">
                  <c:v>40000000000</c:v>
                </c:pt>
                <c:pt idx="7">
                  <c:v>40000000000</c:v>
                </c:pt>
              </c:numCache>
            </c:numRef>
          </c:val>
        </c:ser>
        <c:marker val="1"/>
        <c:axId val="161456512"/>
        <c:axId val="161458048"/>
      </c:lineChart>
      <c:catAx>
        <c:axId val="161456512"/>
        <c:scaling>
          <c:orientation val="minMax"/>
        </c:scaling>
        <c:axPos val="b"/>
        <c:numFmt formatCode="mmm/yy" sourceLinked="1"/>
        <c:tickLblPos val="nextTo"/>
        <c:spPr>
          <a:ln w="3175">
            <a:solidFill>
              <a:srgbClr val="808080"/>
            </a:solidFill>
            <a:prstDash val="solid"/>
          </a:ln>
        </c:spPr>
        <c:txPr>
          <a:bodyPr/>
          <a:lstStyle/>
          <a:p>
            <a:pPr>
              <a:defRPr lang="es-CO" sz="800"/>
            </a:pPr>
            <a:endParaRPr lang="es-ES"/>
          </a:p>
        </c:txPr>
        <c:crossAx val="161458048"/>
        <c:crosses val="autoZero"/>
        <c:auto val="1"/>
        <c:lblAlgn val="ctr"/>
        <c:lblOffset val="100"/>
      </c:catAx>
      <c:valAx>
        <c:axId val="161458048"/>
        <c:scaling>
          <c:orientation val="minMax"/>
          <c:min val="10000000000"/>
        </c:scaling>
        <c:axPos val="l"/>
        <c:numFmt formatCode="[$$-240A]\ #,##0" sourceLinked="1"/>
        <c:tickLblPos val="nextTo"/>
        <c:spPr>
          <a:ln w="3175">
            <a:solidFill>
              <a:srgbClr val="808080"/>
            </a:solidFill>
            <a:prstDash val="solid"/>
          </a:ln>
        </c:spPr>
        <c:txPr>
          <a:bodyPr/>
          <a:lstStyle/>
          <a:p>
            <a:pPr>
              <a:defRPr lang="es-CO" sz="800"/>
            </a:pPr>
            <a:endParaRPr lang="es-ES"/>
          </a:p>
        </c:txPr>
        <c:crossAx val="161456512"/>
        <c:crosses val="autoZero"/>
        <c:crossBetween val="between"/>
      </c:valAx>
      <c:spPr>
        <a:solidFill>
          <a:srgbClr val="FFFFFF"/>
        </a:solidFill>
        <a:ln w="25400">
          <a:noFill/>
        </a:ln>
      </c:spPr>
    </c:plotArea>
    <c:legend>
      <c:legendPos val="r"/>
      <c:layout>
        <c:manualLayout>
          <c:xMode val="edge"/>
          <c:yMode val="edge"/>
          <c:x val="0.65014157832181174"/>
          <c:y val="0.15721604166848793"/>
          <c:w val="0.34595101629246039"/>
          <c:h val="0.65959083083538195"/>
        </c:manualLayout>
      </c:layout>
      <c:spPr>
        <a:noFill/>
        <a:ln w="25400">
          <a:noFill/>
        </a:ln>
      </c:spPr>
      <c:txPr>
        <a:bodyPr/>
        <a:lstStyle/>
        <a:p>
          <a:pPr>
            <a:defRPr lang="es-CO" sz="800" b="1"/>
          </a:pPr>
          <a:endParaRPr lang="es-ES"/>
        </a:p>
      </c:txPr>
    </c:legend>
    <c:plotVisOnly val="1"/>
    <c:dispBlanksAs val="gap"/>
  </c:chart>
  <c:spPr>
    <a:solidFill>
      <a:srgbClr val="FFFFFF"/>
    </a:solidFill>
    <a:ln w="12700">
      <a:solidFill>
        <a:srgbClr val="000000"/>
      </a:solidFill>
      <a:prstDash val="solid"/>
    </a:ln>
  </c:spPr>
  <c:externalData r:id="rId1"/>
</c:chartSpace>
</file>

<file path=word/drawings/drawing1.xml><?xml version="1.0" encoding="utf-8"?>
<c:userShapes xmlns:c="http://schemas.openxmlformats.org/drawingml/2006/chart">
  <cdr:relSizeAnchor xmlns:cdr="http://schemas.openxmlformats.org/drawingml/2006/chartDrawing">
    <cdr:from>
      <cdr:x>0.62625</cdr:x>
      <cdr:y>0.84249</cdr:y>
    </cdr:from>
    <cdr:to>
      <cdr:x>0.84276</cdr:x>
      <cdr:y>0.93141</cdr:y>
    </cdr:to>
    <cdr:sp macro="" textlink="">
      <cdr:nvSpPr>
        <cdr:cNvPr id="22016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10.xml><?xml version="1.0" encoding="utf-8"?>
<c:userShapes xmlns:c="http://schemas.openxmlformats.org/drawingml/2006/chart">
  <cdr:relSizeAnchor xmlns:cdr="http://schemas.openxmlformats.org/drawingml/2006/chartDrawing">
    <cdr:from>
      <cdr:x>0.0124</cdr:x>
      <cdr:y>0.01524</cdr:y>
    </cdr:from>
    <cdr:to>
      <cdr:x>0.0124</cdr:x>
      <cdr:y>0.01524</cdr:y>
    </cdr:to>
    <cdr:sp macro="" textlink="">
      <cdr:nvSpPr>
        <cdr:cNvPr id="3" name="DVCHARTID" hidden="1"/>
        <cdr:cNvSpPr txBox="1"/>
      </cdr:nvSpPr>
      <cdr:spPr>
        <a:xfrm xmlns:a="http://schemas.openxmlformats.org/drawingml/2006/main">
          <a:off x="50800" y="50800"/>
          <a:ext cx="0" cy="0"/>
        </a:xfrm>
        <a:prstGeom xmlns:a="http://schemas.openxmlformats.org/drawingml/2006/main" prst="rect">
          <a:avLst/>
        </a:prstGeom>
      </cdr:spPr>
      <cdr:txBody>
        <a:bodyPr xmlns:a="http://schemas.openxmlformats.org/drawingml/2006/main" vert="vert" rtlCol="0" anchor="ctr"/>
        <a:lstStyle xmlns:a="http://schemas.openxmlformats.org/drawingml/2006/main"/>
        <a:p xmlns:a="http://schemas.openxmlformats.org/drawingml/2006/main">
          <a:pPr algn="r"/>
          <a:r>
            <a:rPr lang="en-US" sz="1100"/>
            <a:t>fphlg8skETb4jFHh7ga0mp</a:t>
          </a:r>
        </a:p>
      </cdr:txBody>
    </cdr:sp>
  </cdr:relSizeAnchor>
</c:userShapes>
</file>

<file path=word/drawings/drawing2.xml><?xml version="1.0" encoding="utf-8"?>
<c:userShapes xmlns:c="http://schemas.openxmlformats.org/drawingml/2006/chart">
  <cdr:relSizeAnchor xmlns:cdr="http://schemas.openxmlformats.org/drawingml/2006/chartDrawing">
    <cdr:from>
      <cdr:x>0.66886</cdr:x>
      <cdr:y>0.88181</cdr:y>
    </cdr:from>
    <cdr:to>
      <cdr:x>0.86057</cdr:x>
      <cdr:y>0.94588</cdr:y>
    </cdr:to>
    <cdr:sp macro="" textlink="">
      <cdr:nvSpPr>
        <cdr:cNvPr id="22016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0.66886</cdr:x>
      <cdr:y>0.88181</cdr:y>
    </cdr:from>
    <cdr:to>
      <cdr:x>0.86057</cdr:x>
      <cdr:y>0.94588</cdr:y>
    </cdr:to>
    <cdr:sp macro="" textlink="">
      <cdr:nvSpPr>
        <cdr:cNvPr id="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3.xml><?xml version="1.0" encoding="utf-8"?>
<c:userShapes xmlns:c="http://schemas.openxmlformats.org/drawingml/2006/chart">
  <cdr:relSizeAnchor xmlns:cdr="http://schemas.openxmlformats.org/drawingml/2006/chartDrawing">
    <cdr:from>
      <cdr:x>0.65813</cdr:x>
      <cdr:y>0.88181</cdr:y>
    </cdr:from>
    <cdr:to>
      <cdr:x>0.85468</cdr:x>
      <cdr:y>0.94564</cdr:y>
    </cdr:to>
    <cdr:sp macro="" textlink="">
      <cdr:nvSpPr>
        <cdr:cNvPr id="22016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4.xml><?xml version="1.0" encoding="utf-8"?>
<c:userShapes xmlns:c="http://schemas.openxmlformats.org/drawingml/2006/chart">
  <cdr:relSizeAnchor xmlns:cdr="http://schemas.openxmlformats.org/drawingml/2006/chartDrawing">
    <cdr:from>
      <cdr:x>0.6589</cdr:x>
      <cdr:y>0.8811</cdr:y>
    </cdr:from>
    <cdr:to>
      <cdr:x>0.85612</cdr:x>
      <cdr:y>0.94517</cdr:y>
    </cdr:to>
    <cdr:sp macro="" textlink="">
      <cdr:nvSpPr>
        <cdr:cNvPr id="22016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0.6589</cdr:x>
      <cdr:y>0.8811</cdr:y>
    </cdr:from>
    <cdr:to>
      <cdr:x>0.85612</cdr:x>
      <cdr:y>0.94517</cdr:y>
    </cdr:to>
    <cdr:sp macro="" textlink="">
      <cdr:nvSpPr>
        <cdr:cNvPr id="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5.xml><?xml version="1.0" encoding="utf-8"?>
<c:userShapes xmlns:c="http://schemas.openxmlformats.org/drawingml/2006/chart">
  <cdr:relSizeAnchor xmlns:cdr="http://schemas.openxmlformats.org/drawingml/2006/chartDrawing">
    <cdr:from>
      <cdr:x>0.66711</cdr:x>
      <cdr:y>0.8811</cdr:y>
    </cdr:from>
    <cdr:to>
      <cdr:x>0.85737</cdr:x>
      <cdr:y>0.94541</cdr:y>
    </cdr:to>
    <cdr:sp macro="" textlink="">
      <cdr:nvSpPr>
        <cdr:cNvPr id="22016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0.66711</cdr:x>
      <cdr:y>0.8811</cdr:y>
    </cdr:from>
    <cdr:to>
      <cdr:x>0.85737</cdr:x>
      <cdr:y>0.94541</cdr:y>
    </cdr:to>
    <cdr:sp macro="" textlink="">
      <cdr:nvSpPr>
        <cdr:cNvPr id="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6.xml><?xml version="1.0" encoding="utf-8"?>
<c:userShapes xmlns:c="http://schemas.openxmlformats.org/drawingml/2006/chart">
  <cdr:relSizeAnchor xmlns:cdr="http://schemas.openxmlformats.org/drawingml/2006/chartDrawing">
    <cdr:from>
      <cdr:x>0.66375</cdr:x>
      <cdr:y>0.8811</cdr:y>
    </cdr:from>
    <cdr:to>
      <cdr:x>0.85688</cdr:x>
      <cdr:y>0.94517</cdr:y>
    </cdr:to>
    <cdr:sp macro="" textlink="">
      <cdr:nvSpPr>
        <cdr:cNvPr id="22016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0.66278</cdr:x>
      <cdr:y>0.88086</cdr:y>
    </cdr:from>
    <cdr:to>
      <cdr:x>0.85517</cdr:x>
      <cdr:y>0.94541</cdr:y>
    </cdr:to>
    <cdr:sp macro="" textlink="">
      <cdr:nvSpPr>
        <cdr:cNvPr id="2" name="Text Box 2"/>
        <cdr:cNvSpPr txBox="1">
          <a:spLocks xmlns:a="http://schemas.openxmlformats.org/drawingml/2006/main" noChangeArrowheads="1"/>
        </cdr:cNvSpPr>
      </cdr:nvSpPr>
      <cdr:spPr bwMode="auto">
        <a:xfrm xmlns:a="http://schemas.openxmlformats.org/drawingml/2006/main">
          <a:off x="2786812" y="2566906"/>
          <a:ext cx="890914" cy="26161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7.xml><?xml version="1.0" encoding="utf-8"?>
<c:userShapes xmlns:c="http://schemas.openxmlformats.org/drawingml/2006/chart">
  <cdr:relSizeAnchor xmlns:cdr="http://schemas.openxmlformats.org/drawingml/2006/chartDrawing">
    <cdr:from>
      <cdr:x>0.66711</cdr:x>
      <cdr:y>0.88256</cdr:y>
    </cdr:from>
    <cdr:to>
      <cdr:x>0.85737</cdr:x>
      <cdr:y>0.94613</cdr:y>
    </cdr:to>
    <cdr:sp macro="" textlink="">
      <cdr:nvSpPr>
        <cdr:cNvPr id="220162" name="Text Box 2"/>
        <cdr:cNvSpPr txBox="1">
          <a:spLocks xmlns:a="http://schemas.openxmlformats.org/drawingml/2006/main" noChangeArrowheads="1"/>
        </cdr:cNvSpPr>
      </cdr:nvSpPr>
      <cdr:spPr bwMode="auto">
        <a:xfrm xmlns:a="http://schemas.openxmlformats.org/drawingml/2006/main">
          <a:off x="2568781" y="2244846"/>
          <a:ext cx="856786" cy="2284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0.66615</cdr:x>
      <cdr:y>0.88256</cdr:y>
    </cdr:from>
    <cdr:to>
      <cdr:x>0.85737</cdr:x>
      <cdr:y>0.94637</cdr:y>
    </cdr:to>
    <cdr:sp macro="" textlink="">
      <cdr:nvSpPr>
        <cdr:cNvPr id="2" name="Text Box 2"/>
        <cdr:cNvSpPr txBox="1">
          <a:spLocks xmlns:a="http://schemas.openxmlformats.org/drawingml/2006/main" noChangeArrowheads="1"/>
        </cdr:cNvSpPr>
      </cdr:nvSpPr>
      <cdr:spPr bwMode="auto">
        <a:xfrm xmlns:a="http://schemas.openxmlformats.org/drawingml/2006/main">
          <a:off x="2786812" y="2566906"/>
          <a:ext cx="890914" cy="26161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8.xml><?xml version="1.0" encoding="utf-8"?>
<c:userShapes xmlns:c="http://schemas.openxmlformats.org/drawingml/2006/chart">
  <cdr:relSizeAnchor xmlns:cdr="http://schemas.openxmlformats.org/drawingml/2006/chartDrawing">
    <cdr:from>
      <cdr:x>0.0066</cdr:x>
      <cdr:y>0.01507</cdr:y>
    </cdr:from>
    <cdr:to>
      <cdr:x>0.0066</cdr:x>
      <cdr:y>0.01507</cdr:y>
    </cdr:to>
    <cdr:sp macro="" textlink="">
      <cdr:nvSpPr>
        <cdr:cNvPr id="2" name="DVCHARTID" hidden="1"/>
        <cdr:cNvSpPr txBox="1"/>
      </cdr:nvSpPr>
      <cdr:spPr>
        <a:xfrm xmlns:a="http://schemas.openxmlformats.org/drawingml/2006/main">
          <a:off x="50800" y="50800"/>
          <a:ext cx="0" cy="0"/>
        </a:xfrm>
        <a:prstGeom xmlns:a="http://schemas.openxmlformats.org/drawingml/2006/main" prst="rect">
          <a:avLst/>
        </a:prstGeom>
      </cdr:spPr>
      <cdr:txBody>
        <a:bodyPr xmlns:a="http://schemas.openxmlformats.org/drawingml/2006/main" vert="vert" rtlCol="0" anchor="ctr"/>
        <a:lstStyle xmlns:a="http://schemas.openxmlformats.org/drawingml/2006/main"/>
        <a:p xmlns:a="http://schemas.openxmlformats.org/drawingml/2006/main">
          <a:pPr algn="r"/>
          <a:r>
            <a:rPr lang="en-US" sz="1100"/>
            <a:t>NI3E2RXmGftUQO5cTfIPAz</a:t>
          </a:r>
        </a:p>
      </cdr:txBody>
    </cdr:sp>
  </cdr:relSizeAnchor>
</c:userShapes>
</file>

<file path=word/drawings/drawing9.xml><?xml version="1.0" encoding="utf-8"?>
<c:userShapes xmlns:c="http://schemas.openxmlformats.org/drawingml/2006/chart">
  <cdr:relSizeAnchor xmlns:cdr="http://schemas.openxmlformats.org/drawingml/2006/chartDrawing">
    <cdr:from>
      <cdr:x>0.01261</cdr:x>
      <cdr:y>0.01555</cdr:y>
    </cdr:from>
    <cdr:to>
      <cdr:x>0.01261</cdr:x>
      <cdr:y>0.01555</cdr:y>
    </cdr:to>
    <cdr:sp macro="" textlink="">
      <cdr:nvSpPr>
        <cdr:cNvPr id="3" name="DVCHARTID" hidden="1"/>
        <cdr:cNvSpPr txBox="1"/>
      </cdr:nvSpPr>
      <cdr:spPr>
        <a:xfrm xmlns:a="http://schemas.openxmlformats.org/drawingml/2006/main">
          <a:off x="50800" y="50800"/>
          <a:ext cx="0" cy="0"/>
        </a:xfrm>
        <a:prstGeom xmlns:a="http://schemas.openxmlformats.org/drawingml/2006/main" prst="rect">
          <a:avLst/>
        </a:prstGeom>
      </cdr:spPr>
      <cdr:txBody>
        <a:bodyPr xmlns:a="http://schemas.openxmlformats.org/drawingml/2006/main" vert="vert" rtlCol="0" anchor="ctr"/>
        <a:lstStyle xmlns:a="http://schemas.openxmlformats.org/drawingml/2006/main"/>
        <a:p xmlns:a="http://schemas.openxmlformats.org/drawingml/2006/main">
          <a:pPr algn="r"/>
          <a:r>
            <a:rPr lang="en-US" sz="1100"/>
            <a:t>GKnVKxUW4fBdu3eXE5yAi2</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706FC-C835-4B99-8274-378961ADE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8107</Words>
  <Characters>44592</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IDESAN CALIDAD</dc:creator>
  <cp:lastModifiedBy> </cp:lastModifiedBy>
  <cp:revision>2</cp:revision>
  <cp:lastPrinted>2015-07-29T21:30:00Z</cp:lastPrinted>
  <dcterms:created xsi:type="dcterms:W3CDTF">2015-11-17T15:52:00Z</dcterms:created>
  <dcterms:modified xsi:type="dcterms:W3CDTF">2015-11-17T15:52:00Z</dcterms:modified>
</cp:coreProperties>
</file>